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BF5" w:rsidRDefault="0091331A" w:rsidP="00A029D7">
      <w:pPr>
        <w:spacing w:line="0" w:lineRule="atLeast"/>
        <w:jc w:val="center"/>
        <w:rPr>
          <w:rStyle w:val="ae"/>
          <w:rFonts w:ascii="Arial" w:eastAsia="標楷體" w:hAnsi="Arial" w:cs="Arial"/>
          <w:color w:val="0D0D0D" w:themeColor="text1" w:themeTint="F2"/>
          <w:sz w:val="28"/>
          <w:szCs w:val="28"/>
          <w:lang w:eastAsia="zh-TW"/>
        </w:rPr>
      </w:pPr>
      <w:r w:rsidRPr="00694507">
        <w:rPr>
          <w:rStyle w:val="ae"/>
          <w:rFonts w:ascii="Arial" w:eastAsia="標楷體" w:hAnsi="Arial" w:cs="Arial"/>
          <w:color w:val="0D0D0D" w:themeColor="text1" w:themeTint="F2"/>
          <w:sz w:val="28"/>
          <w:szCs w:val="28"/>
          <w:lang w:eastAsia="zh-TW"/>
        </w:rPr>
        <w:t>台達</w:t>
      </w:r>
      <w:r w:rsidR="00B84FE2">
        <w:rPr>
          <w:rStyle w:val="ae"/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加入</w:t>
      </w:r>
      <w:proofErr w:type="spellStart"/>
      <w:r w:rsidR="0035714F">
        <w:rPr>
          <w:rStyle w:val="ae"/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ChargIN</w:t>
      </w:r>
      <w:proofErr w:type="spellEnd"/>
      <w:r w:rsidR="0035714F">
        <w:rPr>
          <w:rStyle w:val="ae"/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 xml:space="preserve"> </w:t>
      </w:r>
      <w:proofErr w:type="spellStart"/>
      <w:r w:rsidR="0035714F">
        <w:rPr>
          <w:rStyle w:val="ae"/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e.V</w:t>
      </w:r>
      <w:proofErr w:type="spellEnd"/>
      <w:r w:rsidR="0035714F">
        <w:rPr>
          <w:rStyle w:val="ae"/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.</w:t>
      </w:r>
      <w:r w:rsidR="00CD1E09">
        <w:rPr>
          <w:rStyle w:val="ae"/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 xml:space="preserve"> </w:t>
      </w:r>
      <w:r w:rsidR="0035714F">
        <w:rPr>
          <w:rStyle w:val="ae"/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協會</w:t>
      </w:r>
    </w:p>
    <w:p w:rsidR="00B91D91" w:rsidRPr="00CD1E09" w:rsidRDefault="0056500F" w:rsidP="007C04F3">
      <w:pPr>
        <w:spacing w:line="0" w:lineRule="atLeast"/>
        <w:jc w:val="center"/>
        <w:rPr>
          <w:rStyle w:val="ae"/>
          <w:rFonts w:ascii="標楷體" w:eastAsia="標楷體" w:hAnsi="標楷體" w:cs="Arial"/>
          <w:b w:val="0"/>
          <w:color w:val="0D0D0D" w:themeColor="text1" w:themeTint="F2"/>
          <w:sz w:val="28"/>
          <w:szCs w:val="28"/>
          <w:lang w:eastAsia="zh-TW"/>
        </w:rPr>
      </w:pPr>
      <w:r>
        <w:rPr>
          <w:rStyle w:val="ae"/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協助推動</w:t>
      </w:r>
      <w:r w:rsidR="00F41B14">
        <w:rPr>
          <w:rStyle w:val="ae"/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聯</w:t>
      </w:r>
      <w:r w:rsidR="0035714F" w:rsidRPr="00CD1E09">
        <w:rPr>
          <w:rFonts w:ascii="標楷體" w:eastAsia="標楷體" w:hAnsi="標楷體" w:cs="Helvetica"/>
          <w:b/>
          <w:color w:val="000000"/>
          <w:sz w:val="28"/>
          <w:szCs w:val="28"/>
          <w:shd w:val="clear" w:color="auto" w:fill="FFFFFF"/>
          <w:lang w:eastAsia="zh-TW"/>
        </w:rPr>
        <w:t>合充電系統</w:t>
      </w:r>
      <w:r w:rsidR="00F41B14">
        <w:rPr>
          <w:rFonts w:ascii="標楷體" w:eastAsia="標楷體" w:hAnsi="標楷體" w:cs="Helvetica" w:hint="eastAsia"/>
          <w:b/>
          <w:color w:val="000000"/>
          <w:sz w:val="28"/>
          <w:szCs w:val="28"/>
          <w:shd w:val="clear" w:color="auto" w:fill="FFFFFF"/>
          <w:lang w:eastAsia="zh-TW"/>
        </w:rPr>
        <w:t>(</w:t>
      </w:r>
      <w:r w:rsidR="00F41B14">
        <w:rPr>
          <w:rStyle w:val="ae"/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CCS)</w:t>
      </w:r>
      <w:r w:rsidR="00347C84">
        <w:rPr>
          <w:rFonts w:ascii="標楷體" w:eastAsia="標楷體" w:hAnsi="標楷體" w:cs="Helvetica" w:hint="eastAsia"/>
          <w:b/>
          <w:color w:val="000000"/>
          <w:sz w:val="28"/>
          <w:szCs w:val="28"/>
          <w:shd w:val="clear" w:color="auto" w:fill="FFFFFF"/>
          <w:lang w:eastAsia="zh-TW"/>
        </w:rPr>
        <w:t>成為</w:t>
      </w:r>
      <w:r w:rsidR="0035714F" w:rsidRPr="00CD1E09">
        <w:rPr>
          <w:rFonts w:ascii="標楷體" w:eastAsia="標楷體" w:hAnsi="標楷體" w:cs="Helvetica" w:hint="eastAsia"/>
          <w:b/>
          <w:color w:val="000000"/>
          <w:sz w:val="28"/>
          <w:szCs w:val="28"/>
          <w:shd w:val="clear" w:color="auto" w:fill="FFFFFF"/>
          <w:lang w:eastAsia="zh-TW"/>
        </w:rPr>
        <w:t>全球電動車充電</w:t>
      </w:r>
      <w:r w:rsidR="00347C84">
        <w:rPr>
          <w:rFonts w:ascii="標楷體" w:eastAsia="標楷體" w:hAnsi="標楷體" w:cs="Helvetica" w:hint="eastAsia"/>
          <w:b/>
          <w:color w:val="000000"/>
          <w:sz w:val="28"/>
          <w:szCs w:val="28"/>
          <w:shd w:val="clear" w:color="auto" w:fill="FFFFFF"/>
          <w:lang w:eastAsia="zh-TW"/>
        </w:rPr>
        <w:t>標準</w:t>
      </w:r>
      <w:r w:rsidR="00B84FE2">
        <w:rPr>
          <w:rFonts w:ascii="標楷體" w:eastAsia="標楷體" w:hAnsi="標楷體" w:cs="Helvetica" w:hint="eastAsia"/>
          <w:b/>
          <w:color w:val="000000"/>
          <w:sz w:val="28"/>
          <w:szCs w:val="28"/>
          <w:shd w:val="clear" w:color="auto" w:fill="FFFFFF"/>
          <w:lang w:eastAsia="zh-TW"/>
        </w:rPr>
        <w:t>規格</w:t>
      </w:r>
    </w:p>
    <w:p w:rsidR="00A029D7" w:rsidRPr="00694507" w:rsidRDefault="00A029D7" w:rsidP="00A029D7">
      <w:pPr>
        <w:spacing w:beforeLines="50" w:before="180" w:line="0" w:lineRule="atLeast"/>
        <w:jc w:val="right"/>
        <w:rPr>
          <w:rFonts w:ascii="Arial" w:eastAsia="標楷體" w:hAnsi="Arial" w:cs="Arial"/>
          <w:color w:val="0D0D0D" w:themeColor="text1" w:themeTint="F2"/>
          <w:sz w:val="18"/>
          <w:szCs w:val="18"/>
          <w:lang w:eastAsia="zh-TW"/>
        </w:rPr>
      </w:pPr>
      <w:r w:rsidRPr="00694507">
        <w:rPr>
          <w:rFonts w:ascii="Arial" w:eastAsia="標楷體" w:hAnsi="Arial" w:cs="Arial"/>
          <w:color w:val="0D0D0D" w:themeColor="text1" w:themeTint="F2"/>
          <w:sz w:val="18"/>
          <w:szCs w:val="18"/>
          <w:lang w:eastAsia="zh-TW"/>
        </w:rPr>
        <w:t>發佈單位：台達電子</w:t>
      </w:r>
    </w:p>
    <w:p w:rsidR="00A029D7" w:rsidRPr="00694507" w:rsidRDefault="0091331A" w:rsidP="00A029D7">
      <w:pPr>
        <w:spacing w:line="0" w:lineRule="atLeast"/>
        <w:jc w:val="right"/>
        <w:rPr>
          <w:rFonts w:ascii="Arial" w:eastAsia="標楷體" w:hAnsi="Arial" w:cs="Arial"/>
          <w:color w:val="0D0D0D" w:themeColor="text1" w:themeTint="F2"/>
          <w:sz w:val="18"/>
          <w:szCs w:val="18"/>
          <w:lang w:eastAsia="zh-TW"/>
        </w:rPr>
      </w:pPr>
      <w:r w:rsidRPr="00694507">
        <w:rPr>
          <w:rFonts w:ascii="Arial" w:eastAsia="標楷體" w:hAnsi="Arial" w:cs="Arial"/>
          <w:color w:val="0D0D0D" w:themeColor="text1" w:themeTint="F2"/>
          <w:sz w:val="18"/>
          <w:szCs w:val="18"/>
          <w:lang w:eastAsia="zh-TW"/>
        </w:rPr>
        <w:t>發佈日期：</w:t>
      </w:r>
      <w:r w:rsidRPr="00694507">
        <w:rPr>
          <w:rFonts w:ascii="Arial" w:eastAsia="標楷體" w:hAnsi="Arial" w:cs="Arial"/>
          <w:color w:val="0D0D0D" w:themeColor="text1" w:themeTint="F2"/>
          <w:sz w:val="18"/>
          <w:szCs w:val="18"/>
          <w:lang w:eastAsia="zh-TW"/>
        </w:rPr>
        <w:t>2016</w:t>
      </w:r>
      <w:r w:rsidR="00A029D7" w:rsidRPr="00694507">
        <w:rPr>
          <w:rFonts w:ascii="Arial" w:eastAsia="標楷體" w:hAnsi="Arial" w:cs="Arial"/>
          <w:color w:val="0D0D0D" w:themeColor="text1" w:themeTint="F2"/>
          <w:sz w:val="18"/>
          <w:szCs w:val="18"/>
          <w:lang w:eastAsia="zh-TW"/>
        </w:rPr>
        <w:t>年</w:t>
      </w:r>
      <w:r w:rsidR="00CD1E09">
        <w:rPr>
          <w:rFonts w:ascii="Arial" w:eastAsia="標楷體" w:hAnsi="Arial" w:cs="Arial" w:hint="eastAsia"/>
          <w:color w:val="0D0D0D" w:themeColor="text1" w:themeTint="F2"/>
          <w:sz w:val="18"/>
          <w:szCs w:val="18"/>
          <w:lang w:eastAsia="zh-TW"/>
        </w:rPr>
        <w:t>9</w:t>
      </w:r>
      <w:r w:rsidR="00A029D7" w:rsidRPr="00694507">
        <w:rPr>
          <w:rFonts w:ascii="Arial" w:eastAsia="標楷體" w:hAnsi="Arial" w:cs="Arial"/>
          <w:color w:val="0D0D0D" w:themeColor="text1" w:themeTint="F2"/>
          <w:sz w:val="18"/>
          <w:szCs w:val="18"/>
          <w:lang w:eastAsia="zh-TW"/>
        </w:rPr>
        <w:t>月</w:t>
      </w:r>
      <w:r w:rsidR="0056500F" w:rsidRPr="00FF254B">
        <w:rPr>
          <w:rFonts w:ascii="Arial" w:eastAsia="標楷體" w:hAnsi="Arial" w:cs="Arial" w:hint="eastAsia"/>
          <w:sz w:val="18"/>
          <w:szCs w:val="18"/>
          <w:lang w:eastAsia="zh-TW"/>
        </w:rPr>
        <w:t>2</w:t>
      </w:r>
      <w:r w:rsidR="00761074">
        <w:rPr>
          <w:rFonts w:ascii="Arial" w:eastAsia="標楷體" w:hAnsi="Arial" w:cs="Arial" w:hint="eastAsia"/>
          <w:sz w:val="18"/>
          <w:szCs w:val="18"/>
          <w:lang w:eastAsia="zh-TW"/>
        </w:rPr>
        <w:t>6</w:t>
      </w:r>
      <w:r w:rsidR="00A029D7" w:rsidRPr="00694507">
        <w:rPr>
          <w:rFonts w:ascii="Arial" w:eastAsia="標楷體" w:hAnsi="Arial" w:cs="Arial"/>
          <w:color w:val="0D0D0D" w:themeColor="text1" w:themeTint="F2"/>
          <w:sz w:val="18"/>
          <w:szCs w:val="18"/>
          <w:lang w:eastAsia="zh-TW"/>
        </w:rPr>
        <w:t>日</w:t>
      </w:r>
    </w:p>
    <w:p w:rsidR="00592B86" w:rsidRPr="00694507" w:rsidRDefault="00592B86" w:rsidP="00A029D7">
      <w:pPr>
        <w:spacing w:line="360" w:lineRule="exact"/>
        <w:jc w:val="both"/>
        <w:rPr>
          <w:rFonts w:ascii="Arial" w:eastAsia="標楷體" w:hAnsi="Arial" w:cs="Arial"/>
          <w:color w:val="0D0D0D" w:themeColor="text1" w:themeTint="F2"/>
          <w:sz w:val="28"/>
          <w:szCs w:val="28"/>
          <w:lang w:eastAsia="zh-TW"/>
        </w:rPr>
      </w:pPr>
    </w:p>
    <w:p w:rsidR="00E25A8A" w:rsidRDefault="00592B86" w:rsidP="00584530">
      <w:pPr>
        <w:snapToGrid w:val="0"/>
        <w:jc w:val="both"/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</w:pPr>
      <w:r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台達今</w:t>
      </w:r>
      <w:r w:rsidR="00BB3270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(</w:t>
      </w:r>
      <w:r w:rsidR="00761074">
        <w:rPr>
          <w:rFonts w:ascii="Arial" w:eastAsia="標楷體" w:hAnsi="Arial" w:cs="Arial" w:hint="eastAsia"/>
          <w:bCs/>
          <w:sz w:val="28"/>
          <w:szCs w:val="28"/>
          <w:lang w:eastAsia="zh-TW"/>
        </w:rPr>
        <w:t>26</w:t>
      </w:r>
      <w:bookmarkStart w:id="0" w:name="_GoBack"/>
      <w:bookmarkEnd w:id="0"/>
      <w:r w:rsidR="00BB3270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)</w:t>
      </w:r>
      <w:r w:rsidR="009F1068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日</w:t>
      </w:r>
      <w:r w:rsidR="00347C84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宣</w:t>
      </w:r>
      <w:r w:rsidR="00F41B14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布成為</w:t>
      </w:r>
      <w:r w:rsidR="00AA1BAD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Charging Interface Initiative (</w:t>
      </w:r>
      <w:proofErr w:type="spellStart"/>
      <w:r w:rsidR="00AA1BAD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CharIn</w:t>
      </w:r>
      <w:proofErr w:type="spellEnd"/>
      <w:r w:rsidR="00AA1BAD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 xml:space="preserve"> </w:t>
      </w:r>
      <w:proofErr w:type="spellStart"/>
      <w:r w:rsidR="00AA1BAD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e.V</w:t>
      </w:r>
      <w:proofErr w:type="spellEnd"/>
      <w:r w:rsidR="00AA1BAD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 xml:space="preserve">.) </w:t>
      </w:r>
      <w:r w:rsidR="00AA1BAD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協會核心會員</w:t>
      </w:r>
      <w:r w:rsidR="00B84FE2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，運用</w:t>
      </w:r>
      <w:r w:rsidR="00BB063A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台達在</w:t>
      </w:r>
      <w:r w:rsidR="00B84FE2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電源效率</w:t>
      </w:r>
      <w:r w:rsidR="00347C84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的領導地位與</w:t>
      </w:r>
      <w:r w:rsidR="00BB063A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佈局</w:t>
      </w:r>
      <w:r w:rsidR="00347C84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全球多年的電動車充電設備</w:t>
      </w:r>
      <w:r w:rsidR="00BB063A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實</w:t>
      </w:r>
      <w:r w:rsidR="00347C84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力，</w:t>
      </w:r>
      <w:r w:rsidR="00B84FE2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持</w:t>
      </w:r>
      <w:r w:rsidR="00347C84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續促進與發展電動車快速充電規格</w:t>
      </w:r>
      <w:r w:rsidR="00AA1BAD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。</w:t>
      </w:r>
      <w:proofErr w:type="spellStart"/>
      <w:r w:rsidR="00AA1BAD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CharIN</w:t>
      </w:r>
      <w:proofErr w:type="spellEnd"/>
      <w:r w:rsidR="00AA1BAD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 xml:space="preserve"> </w:t>
      </w:r>
      <w:proofErr w:type="spellStart"/>
      <w:r w:rsidR="00AA1BAD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e.V</w:t>
      </w:r>
      <w:proofErr w:type="spellEnd"/>
      <w:r w:rsidR="00AA1BAD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 xml:space="preserve">. </w:t>
      </w:r>
      <w:r w:rsidR="00AA1BAD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為</w:t>
      </w:r>
      <w:r w:rsidR="00D835A6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在</w:t>
      </w:r>
      <w:r w:rsidR="00332EEF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德國柏林成立的</w:t>
      </w:r>
      <w:r w:rsidR="00AA1BAD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開放式協會，主要成員</w:t>
      </w:r>
      <w:r w:rsidR="00D835A6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皆為</w:t>
      </w:r>
      <w:r w:rsidR="00AA1BAD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全球電動車產業</w:t>
      </w:r>
      <w:r w:rsidR="00D835A6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中</w:t>
      </w:r>
      <w:r w:rsidR="00AA1BAD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最</w:t>
      </w:r>
      <w:r w:rsidR="00D835A6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具</w:t>
      </w:r>
      <w:r w:rsidR="00AA1BAD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影響力的企業，</w:t>
      </w:r>
      <w:r w:rsidR="00940B8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此協會主要</w:t>
      </w:r>
      <w:r w:rsidR="00F41B14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負責支持與促進</w:t>
      </w:r>
      <w:r w:rsidR="00AA1BAD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聯合充電系統</w:t>
      </w:r>
      <w:r w:rsidR="00042E6F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 xml:space="preserve"> </w:t>
      </w:r>
      <w:r w:rsidR="00AA1BAD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(CCS)</w:t>
      </w:r>
      <w:r w:rsidR="00042E6F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 xml:space="preserve"> </w:t>
      </w:r>
      <w:r w:rsidR="00940B8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成</w:t>
      </w:r>
      <w:r w:rsidR="00D835A6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為</w:t>
      </w:r>
      <w:r w:rsidR="00940B8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全世界電動車充電</w:t>
      </w:r>
      <w:r w:rsidR="00D835A6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的</w:t>
      </w:r>
      <w:r w:rsidR="00940B8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主要規格之一</w:t>
      </w:r>
      <w:r w:rsidR="00B84FE2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，</w:t>
      </w:r>
      <w:r w:rsidR="00F967D9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透過</w:t>
      </w:r>
      <w:r w:rsidR="007F08DF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現有與未來</w:t>
      </w:r>
      <w:r w:rsidR="00D100F5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充電</w:t>
      </w:r>
      <w:r w:rsidR="007F08DF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設備規格標準化</w:t>
      </w:r>
      <w:r w:rsidR="00D100F5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，</w:t>
      </w:r>
      <w:r w:rsidR="00D835A6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提升</w:t>
      </w:r>
      <w:r w:rsidR="007F08DF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充電基礎設施的</w:t>
      </w:r>
      <w:r w:rsidR="00F967D9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便利</w:t>
      </w:r>
      <w:r w:rsidR="00D835A6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性</w:t>
      </w:r>
      <w:r w:rsidR="00F967D9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與成本效率，</w:t>
      </w:r>
      <w:r w:rsidR="00D100F5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進而</w:t>
      </w:r>
      <w:r w:rsidR="00F967D9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提高</w:t>
      </w:r>
      <w:r w:rsidR="00D835A6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整體</w:t>
      </w:r>
      <w:r w:rsidR="00F967D9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電動車使用者的效</w:t>
      </w:r>
      <w:r w:rsidR="00D835A6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益</w:t>
      </w:r>
      <w:r w:rsidR="00E25A8A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。</w:t>
      </w:r>
    </w:p>
    <w:p w:rsidR="00CE03E6" w:rsidRPr="00D835A6" w:rsidRDefault="00CE03E6" w:rsidP="00D33071">
      <w:pPr>
        <w:snapToGrid w:val="0"/>
        <w:jc w:val="both"/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</w:pPr>
    </w:p>
    <w:p w:rsidR="00CE03E6" w:rsidRDefault="00D82B2F" w:rsidP="00D33071">
      <w:pPr>
        <w:snapToGrid w:val="0"/>
        <w:jc w:val="both"/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</w:pPr>
      <w:r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台達電源系統事業群</w:t>
      </w:r>
      <w:r w:rsidR="008D2764" w:rsidRPr="008D2764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副總裁</w:t>
      </w:r>
      <w:r w:rsidR="008D2764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與</w:t>
      </w:r>
      <w:r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總經理鄭安表示</w:t>
      </w:r>
      <w:r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 xml:space="preserve">, </w:t>
      </w:r>
      <w:r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「</w:t>
      </w:r>
      <w:r w:rsidR="00FB20FA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我們</w:t>
      </w:r>
      <w:r w:rsidR="007F08DF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很</w:t>
      </w:r>
      <w:r w:rsidR="00FB20FA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高興有機會加入</w:t>
      </w:r>
      <w:proofErr w:type="spellStart"/>
      <w:r w:rsidR="00FB20FA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CharIN</w:t>
      </w:r>
      <w:proofErr w:type="spellEnd"/>
      <w:r w:rsidR="00FB20FA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 xml:space="preserve"> </w:t>
      </w:r>
      <w:proofErr w:type="spellStart"/>
      <w:r w:rsidR="00FB20FA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e.V</w:t>
      </w:r>
      <w:proofErr w:type="spellEnd"/>
      <w:r w:rsidR="00FB20FA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.</w:t>
      </w:r>
      <w:r w:rsidR="00FB20FA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協會</w:t>
      </w:r>
      <w:r w:rsidR="00D835A6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，</w:t>
      </w:r>
      <w:r w:rsidR="00FB20FA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也非常期待與它的成員合作</w:t>
      </w:r>
      <w:r w:rsidR="00D835A6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。</w:t>
      </w:r>
      <w:r w:rsidR="007F08DF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事實上台達</w:t>
      </w:r>
      <w:r w:rsidR="00FB20FA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已</w:t>
      </w:r>
      <w:r w:rsidR="007F08DF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和其中</w:t>
      </w:r>
      <w:r w:rsidR="00FB20FA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許多成員合作</w:t>
      </w:r>
      <w:r w:rsidR="007F08DF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多</w:t>
      </w:r>
      <w:r w:rsidR="00FB20FA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年</w:t>
      </w:r>
      <w:r w:rsidR="007F08DF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，</w:t>
      </w:r>
      <w:proofErr w:type="spellStart"/>
      <w:r w:rsidR="00FB20FA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ChargIN</w:t>
      </w:r>
      <w:proofErr w:type="spellEnd"/>
      <w:r w:rsidR="00FB20FA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 xml:space="preserve"> </w:t>
      </w:r>
      <w:proofErr w:type="spellStart"/>
      <w:r w:rsidR="00FB20FA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e.V</w:t>
      </w:r>
      <w:proofErr w:type="spellEnd"/>
      <w:r w:rsidR="00FB20FA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.</w:t>
      </w:r>
      <w:r w:rsidR="00D835A6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團隊中包含許多領域的專家，相信</w:t>
      </w:r>
      <w:r w:rsidR="007D3281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有能力促進與發展</w:t>
      </w:r>
      <w:r w:rsidR="007D3281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CCS</w:t>
      </w:r>
      <w:r w:rsidR="007D3281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規格成</w:t>
      </w:r>
      <w:r w:rsidR="00D835A6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為</w:t>
      </w:r>
      <w:r w:rsidR="007D3281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全球充電主要標準規格之</w:t>
      </w:r>
      <w:proofErr w:type="gramStart"/>
      <w:r w:rsidR="007D3281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一</w:t>
      </w:r>
      <w:proofErr w:type="gramEnd"/>
      <w:r w:rsidR="00D835A6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。台達</w:t>
      </w:r>
      <w:r w:rsidR="007F08DF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亦能透過</w:t>
      </w:r>
      <w:r w:rsidR="007E5650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此</w:t>
      </w:r>
      <w:r w:rsidR="00AD778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合作</w:t>
      </w:r>
      <w:r w:rsidR="007F08DF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，</w:t>
      </w:r>
      <w:r w:rsidR="00AD778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提供全</w:t>
      </w:r>
      <w:r w:rsidR="007E5650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球</w:t>
      </w:r>
      <w:r w:rsidR="00AD778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電動車使用者</w:t>
      </w:r>
      <w:r w:rsidR="00D835A6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更</w:t>
      </w:r>
      <w:r w:rsidR="00AD778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高效及</w:t>
      </w:r>
      <w:r w:rsidR="00D835A6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方便使用</w:t>
      </w:r>
      <w:r w:rsidR="00AD778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的充電解決方案</w:t>
      </w:r>
      <w:r w:rsidR="00D835A6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，</w:t>
      </w:r>
      <w:r w:rsidR="007F08DF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促進</w:t>
      </w:r>
      <w:r w:rsidR="00AD778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e-</w:t>
      </w:r>
      <w:r w:rsidR="004A10E0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m</w:t>
      </w:r>
      <w:r w:rsidR="00AD778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obility</w:t>
      </w:r>
      <w:r w:rsidR="007F08DF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，邁向</w:t>
      </w:r>
      <w:r w:rsidR="00AD778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永續城市</w:t>
      </w:r>
      <w:r w:rsidR="00AD7787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。</w:t>
      </w:r>
      <w:r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」</w:t>
      </w:r>
    </w:p>
    <w:p w:rsidR="002E6F2F" w:rsidRDefault="002E6F2F" w:rsidP="00D33071">
      <w:pPr>
        <w:snapToGrid w:val="0"/>
        <w:jc w:val="both"/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</w:pPr>
    </w:p>
    <w:p w:rsidR="0090238F" w:rsidRDefault="0090238F" w:rsidP="0090238F">
      <w:pPr>
        <w:snapToGrid w:val="0"/>
        <w:jc w:val="both"/>
        <w:rPr>
          <w:rFonts w:ascii="標楷體" w:eastAsia="標楷體" w:hAnsi="標楷體" w:cs="Arial"/>
          <w:sz w:val="28"/>
          <w:szCs w:val="28"/>
          <w:shd w:val="clear" w:color="auto" w:fill="FFFFFF"/>
          <w:lang w:eastAsia="zh-TW"/>
        </w:rPr>
      </w:pPr>
      <w:proofErr w:type="spellStart"/>
      <w:r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CharIN</w:t>
      </w:r>
      <w:proofErr w:type="spellEnd"/>
      <w:r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 xml:space="preserve"> </w:t>
      </w:r>
      <w:proofErr w:type="spellStart"/>
      <w:r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e.V</w:t>
      </w:r>
      <w:proofErr w:type="spellEnd"/>
      <w:r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 xml:space="preserve">. </w:t>
      </w:r>
      <w:r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為開放式協會，主要負責支持與促進聯合充電系統</w:t>
      </w:r>
      <w:r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 xml:space="preserve"> (CCS) </w:t>
      </w:r>
      <w:r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成為全世界電動車充電的主要規格之一，主要成員皆為全球電動車產業中最具影響力的企業，例如，</w:t>
      </w:r>
      <w:r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BMW</w:t>
      </w:r>
      <w:r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、菲亞特克萊斯勒集團、福特、</w:t>
      </w:r>
      <w:r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 xml:space="preserve">GM </w:t>
      </w:r>
      <w:r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、</w:t>
      </w:r>
      <w:r>
        <w:rPr>
          <w:rStyle w:val="apple-converted-space"/>
          <w:rFonts w:ascii="Arial" w:hAnsi="Arial" w:cs="Arial"/>
          <w:color w:val="545454"/>
          <w:shd w:val="clear" w:color="auto" w:fill="FFFFFF"/>
          <w:lang w:eastAsia="zh-TW"/>
        </w:rPr>
        <w:t> </w:t>
      </w:r>
      <w:r w:rsidRPr="008D2764">
        <w:rPr>
          <w:rFonts w:ascii="標楷體" w:eastAsia="標楷體" w:hAnsi="標楷體" w:cs="Arial"/>
          <w:sz w:val="28"/>
          <w:szCs w:val="28"/>
          <w:shd w:val="clear" w:color="auto" w:fill="FFFFFF"/>
          <w:lang w:eastAsia="zh-TW"/>
        </w:rPr>
        <w:t>菲尼克斯電子</w:t>
      </w:r>
      <w:r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、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TW"/>
        </w:rPr>
        <w:t>保時捷</w:t>
      </w:r>
      <w:r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、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TW"/>
        </w:rPr>
        <w:t>雷諾</w:t>
      </w:r>
      <w:r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、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TW"/>
        </w:rPr>
        <w:t>特斯拉等廠商。</w:t>
      </w:r>
    </w:p>
    <w:p w:rsidR="0090238F" w:rsidRPr="00694507" w:rsidRDefault="0090238F" w:rsidP="0090238F">
      <w:pPr>
        <w:snapToGrid w:val="0"/>
        <w:jc w:val="both"/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</w:pPr>
    </w:p>
    <w:p w:rsidR="002E6F2F" w:rsidRDefault="007E5650" w:rsidP="00D33071">
      <w:pPr>
        <w:snapToGrid w:val="0"/>
        <w:jc w:val="both"/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</w:pPr>
      <w:r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台達洞悉</w:t>
      </w:r>
      <w:r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e-mobility</w:t>
      </w:r>
      <w:r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的未來巨大潛力，近年</w:t>
      </w:r>
      <w:r w:rsidR="00757A0B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提供全球電動車領導製造廠商車載充電器</w:t>
      </w:r>
      <w:r w:rsidR="00B270E9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 xml:space="preserve"> (on-board chargers)</w:t>
      </w:r>
      <w:r w:rsidR="00757A0B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、</w:t>
      </w:r>
      <w:r w:rsidR="00B270E9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直流電源</w:t>
      </w:r>
      <w:r w:rsidR="004A10E0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轉換器</w:t>
      </w:r>
      <w:r w:rsidR="00B270E9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 xml:space="preserve"> (DC/DC converters)</w:t>
      </w:r>
      <w:r w:rsidR="004A10E0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等最先進零件，</w:t>
      </w:r>
      <w:r w:rsidR="00757A0B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成為電動車產業的早期</w:t>
      </w:r>
      <w:r w:rsidR="00D835A6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領導廠商</w:t>
      </w:r>
      <w:r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，亦</w:t>
      </w:r>
      <w:r w:rsidR="004A10E0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開始整合自製</w:t>
      </w:r>
      <w:r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的</w:t>
      </w:r>
      <w:proofErr w:type="gramStart"/>
      <w:r w:rsidR="004A10E0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直流快</w:t>
      </w:r>
      <w:r w:rsidR="00D835A6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充</w:t>
      </w:r>
      <w:proofErr w:type="gramEnd"/>
      <w:r w:rsidR="00D835A6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、</w:t>
      </w:r>
      <w:r w:rsidR="004A10E0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交流充電設備與自</w:t>
      </w:r>
      <w:r w:rsidR="00D835A6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行</w:t>
      </w:r>
      <w:r w:rsidR="004A10E0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設計的充電</w:t>
      </w:r>
      <w:r w:rsidR="005558FD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站管理系統</w:t>
      </w:r>
      <w:r w:rsidR="005558FD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(SMS)</w:t>
      </w:r>
      <w:r w:rsidR="005558FD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來</w:t>
      </w:r>
      <w:r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實</w:t>
      </w:r>
      <w:r w:rsidR="005558FD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現</w:t>
      </w:r>
      <w:r w:rsidR="004A10E0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全方位解決方案</w:t>
      </w:r>
      <w:r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，重要</w:t>
      </w:r>
      <w:r w:rsidR="003C3020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案例包括</w:t>
      </w:r>
      <w:r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：為成長中的歐洲充電設備網絡提供</w:t>
      </w:r>
      <w:r w:rsidR="000F361B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150kW</w:t>
      </w:r>
      <w:r w:rsidR="000F361B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直流超快速與</w:t>
      </w:r>
      <w:r w:rsidR="000F361B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50kW</w:t>
      </w:r>
      <w:r w:rsidR="000F361B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直流快速充電站</w:t>
      </w:r>
      <w:r w:rsidR="00AE5673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、</w:t>
      </w:r>
      <w:r w:rsidR="00B270E9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與美國知名能源公司</w:t>
      </w:r>
      <w:r w:rsidR="00B270E9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DTE Energy</w:t>
      </w:r>
      <w:r w:rsidR="00B270E9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合作</w:t>
      </w:r>
      <w:r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在</w:t>
      </w:r>
      <w:r w:rsidR="00B270E9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底特律</w:t>
      </w:r>
      <w:r w:rsidR="00B270E9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MGM Grand</w:t>
      </w:r>
      <w:r w:rsidR="00B270E9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大酒店安裝智慧型充電設備</w:t>
      </w:r>
      <w:r w:rsidR="007B1824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、於台灣、香港、泰國、澳洲等商業</w:t>
      </w:r>
      <w:r w:rsidR="007B1824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 xml:space="preserve"> (</w:t>
      </w:r>
      <w:r w:rsidR="00605ECB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機場、辦公大樓、觀光地區</w:t>
      </w:r>
      <w:r w:rsidR="00605ECB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 xml:space="preserve">) </w:t>
      </w:r>
      <w:r w:rsidR="00605ECB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及住宅應用安裝充電設備</w:t>
      </w:r>
      <w:r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等</w:t>
      </w:r>
      <w:r w:rsidR="00605ECB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。</w:t>
      </w:r>
    </w:p>
    <w:p w:rsidR="003E2091" w:rsidRDefault="003E2091" w:rsidP="00D33071">
      <w:pPr>
        <w:snapToGrid w:val="0"/>
        <w:jc w:val="both"/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</w:pPr>
    </w:p>
    <w:p w:rsidR="00E26D13" w:rsidRDefault="00DA1DDA" w:rsidP="00D51137">
      <w:pPr>
        <w:snapToGrid w:val="0"/>
        <w:jc w:val="both"/>
        <w:rPr>
          <w:rFonts w:ascii="標楷體" w:eastAsia="標楷體" w:hAnsi="標楷體"/>
          <w:sz w:val="28"/>
          <w:szCs w:val="28"/>
          <w:shd w:val="clear" w:color="auto" w:fill="FFFFFF"/>
          <w:lang w:eastAsia="zh-TW"/>
        </w:rPr>
      </w:pPr>
      <w:r w:rsidRPr="00DA1DDA">
        <w:rPr>
          <w:rFonts w:ascii="標楷體" w:eastAsia="標楷體" w:hAnsi="標楷體" w:hint="eastAsia"/>
          <w:sz w:val="28"/>
          <w:szCs w:val="28"/>
          <w:shd w:val="clear" w:color="auto" w:fill="FFFFFF"/>
          <w:lang w:eastAsia="zh-TW"/>
        </w:rPr>
        <w:t>台達致力於創新研發，</w:t>
      </w:r>
      <w:r w:rsidR="00BB2C8E" w:rsidRPr="00042E6F">
        <w:rPr>
          <w:rFonts w:ascii="Arial" w:eastAsia="標楷體" w:hAnsi="Arial" w:cs="Arial"/>
          <w:sz w:val="28"/>
          <w:szCs w:val="28"/>
          <w:shd w:val="clear" w:color="auto" w:fill="FFFFFF"/>
          <w:lang w:eastAsia="zh-TW"/>
        </w:rPr>
        <w:t>2015</w:t>
      </w:r>
      <w:r w:rsidRPr="00DA1DDA">
        <w:rPr>
          <w:rFonts w:ascii="標楷體" w:eastAsia="標楷體" w:hAnsi="標楷體" w:hint="eastAsia"/>
          <w:sz w:val="28"/>
          <w:szCs w:val="28"/>
          <w:shd w:val="clear" w:color="auto" w:fill="FFFFFF"/>
          <w:lang w:eastAsia="zh-TW"/>
        </w:rPr>
        <w:t>年投入集團總營收</w:t>
      </w:r>
      <w:r w:rsidR="007E5650">
        <w:rPr>
          <w:rFonts w:ascii="Arial" w:eastAsia="標楷體" w:hAnsi="Arial" w:cs="Arial" w:hint="eastAsia"/>
          <w:sz w:val="28"/>
          <w:szCs w:val="28"/>
          <w:shd w:val="clear" w:color="auto" w:fill="FFFFFF"/>
          <w:lang w:eastAsia="zh-TW"/>
        </w:rPr>
        <w:t>超過</w:t>
      </w:r>
      <w:r w:rsidRPr="00C87286">
        <w:rPr>
          <w:rFonts w:ascii="Arial" w:eastAsia="標楷體" w:hAnsi="Arial" w:cs="Arial"/>
          <w:sz w:val="28"/>
          <w:szCs w:val="28"/>
          <w:shd w:val="clear" w:color="auto" w:fill="FFFFFF"/>
          <w:lang w:eastAsia="zh-TW"/>
        </w:rPr>
        <w:t>7</w:t>
      </w:r>
      <w:r w:rsidR="00BB2C8E">
        <w:rPr>
          <w:rFonts w:ascii="Arial" w:eastAsia="標楷體" w:hAnsi="Arial" w:cs="Arial" w:hint="eastAsia"/>
          <w:sz w:val="28"/>
          <w:szCs w:val="28"/>
          <w:shd w:val="clear" w:color="auto" w:fill="FFFFFF"/>
          <w:lang w:eastAsia="zh-TW"/>
        </w:rPr>
        <w:t>.2</w:t>
      </w:r>
      <w:r w:rsidRPr="00C87286">
        <w:rPr>
          <w:rFonts w:ascii="Arial" w:eastAsia="標楷體" w:hAnsi="Arial" w:cs="Arial"/>
          <w:sz w:val="28"/>
          <w:szCs w:val="28"/>
          <w:shd w:val="clear" w:color="auto" w:fill="FFFFFF"/>
          <w:lang w:eastAsia="zh-TW"/>
        </w:rPr>
        <w:t>%</w:t>
      </w:r>
      <w:r w:rsidRPr="00DA1DDA">
        <w:rPr>
          <w:rFonts w:ascii="標楷體" w:eastAsia="標楷體" w:hAnsi="標楷體" w:hint="eastAsia"/>
          <w:sz w:val="28"/>
          <w:szCs w:val="28"/>
          <w:shd w:val="clear" w:color="auto" w:fill="FFFFFF"/>
          <w:lang w:eastAsia="zh-TW"/>
        </w:rPr>
        <w:t xml:space="preserve"> 作為研發</w:t>
      </w:r>
      <w:r w:rsidR="00D835A6">
        <w:rPr>
          <w:rFonts w:ascii="標楷體" w:eastAsia="標楷體" w:hAnsi="標楷體" w:hint="eastAsia"/>
          <w:sz w:val="28"/>
          <w:szCs w:val="28"/>
          <w:shd w:val="clear" w:color="auto" w:fill="FFFFFF"/>
          <w:lang w:eastAsia="zh-TW"/>
        </w:rPr>
        <w:t>費用，</w:t>
      </w:r>
      <w:r w:rsidRPr="00DA1DDA">
        <w:rPr>
          <w:rFonts w:ascii="標楷體" w:eastAsia="標楷體" w:hAnsi="標楷體" w:hint="eastAsia"/>
          <w:sz w:val="28"/>
          <w:szCs w:val="28"/>
          <w:shd w:val="clear" w:color="auto" w:fill="FFFFFF"/>
          <w:lang w:eastAsia="zh-TW"/>
        </w:rPr>
        <w:t xml:space="preserve">不斷提高電源產品的能源轉換效率，目前產品效率都已達 </w:t>
      </w:r>
      <w:r w:rsidRPr="00C87286">
        <w:rPr>
          <w:rFonts w:ascii="Arial" w:eastAsia="標楷體" w:hAnsi="Arial" w:cs="Arial"/>
          <w:sz w:val="28"/>
          <w:szCs w:val="28"/>
          <w:shd w:val="clear" w:color="auto" w:fill="FFFFFF"/>
          <w:lang w:eastAsia="zh-TW"/>
        </w:rPr>
        <w:t>90%</w:t>
      </w:r>
      <w:r w:rsidRPr="00DA1DDA">
        <w:rPr>
          <w:rFonts w:ascii="標楷體" w:eastAsia="標楷體" w:hAnsi="標楷體" w:hint="eastAsia"/>
          <w:sz w:val="28"/>
          <w:szCs w:val="28"/>
          <w:shd w:val="clear" w:color="auto" w:fill="FFFFFF"/>
          <w:lang w:eastAsia="zh-TW"/>
        </w:rPr>
        <w:t>以上，尤其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  <w:lang w:eastAsia="zh-TW"/>
        </w:rPr>
        <w:t>交換式電源供應器效率</w:t>
      </w:r>
      <w:r w:rsidR="00D835A6">
        <w:rPr>
          <w:rFonts w:ascii="標楷體" w:eastAsia="標楷體" w:hAnsi="標楷體" w:hint="eastAsia"/>
          <w:sz w:val="28"/>
          <w:szCs w:val="28"/>
          <w:shd w:val="clear" w:color="auto" w:fill="FFFFFF"/>
          <w:lang w:eastAsia="zh-TW"/>
        </w:rPr>
        <w:t>高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  <w:lang w:eastAsia="zh-TW"/>
        </w:rPr>
        <w:t>達</w:t>
      </w:r>
      <w:r w:rsidRPr="00C87286">
        <w:rPr>
          <w:rFonts w:ascii="Arial" w:eastAsia="標楷體" w:hAnsi="Arial" w:cs="Arial"/>
          <w:sz w:val="28"/>
          <w:szCs w:val="28"/>
          <w:shd w:val="clear" w:color="auto" w:fill="FFFFFF"/>
          <w:lang w:eastAsia="zh-TW"/>
        </w:rPr>
        <w:t>96%</w:t>
      </w:r>
      <w:r w:rsidR="007E5650">
        <w:rPr>
          <w:rFonts w:ascii="標楷體" w:eastAsia="標楷體" w:hAnsi="標楷體" w:hint="eastAsia"/>
          <w:sz w:val="28"/>
          <w:szCs w:val="28"/>
          <w:shd w:val="clear" w:color="auto" w:fill="FFFFFF"/>
          <w:lang w:eastAsia="zh-TW"/>
        </w:rPr>
        <w:t>，</w:t>
      </w:r>
      <w:r w:rsidRPr="00DA1DDA">
        <w:rPr>
          <w:rFonts w:ascii="標楷體" w:eastAsia="標楷體" w:hAnsi="標楷體" w:hint="eastAsia"/>
          <w:sz w:val="28"/>
          <w:szCs w:val="28"/>
          <w:shd w:val="clear" w:color="auto" w:fill="FFFFFF"/>
          <w:lang w:eastAsia="zh-TW"/>
        </w:rPr>
        <w:t>通訊電源效率</w:t>
      </w:r>
      <w:r w:rsidR="007E5650">
        <w:rPr>
          <w:rFonts w:ascii="標楷體" w:eastAsia="標楷體" w:hAnsi="標楷體" w:hint="eastAsia"/>
          <w:sz w:val="28"/>
          <w:szCs w:val="28"/>
          <w:shd w:val="clear" w:color="auto" w:fill="FFFFFF"/>
          <w:lang w:eastAsia="zh-TW"/>
        </w:rPr>
        <w:t>也</w:t>
      </w:r>
      <w:r w:rsidRPr="00DA1DDA">
        <w:rPr>
          <w:rFonts w:ascii="標楷體" w:eastAsia="標楷體" w:hAnsi="標楷體" w:hint="eastAsia"/>
          <w:sz w:val="28"/>
          <w:szCs w:val="28"/>
          <w:shd w:val="clear" w:color="auto" w:fill="FFFFFF"/>
          <w:lang w:eastAsia="zh-TW"/>
        </w:rPr>
        <w:t>領先業界</w:t>
      </w:r>
      <w:r w:rsidR="007E5650">
        <w:rPr>
          <w:rFonts w:ascii="標楷體" w:eastAsia="標楷體" w:hAnsi="標楷體" w:hint="eastAsia"/>
          <w:sz w:val="28"/>
          <w:szCs w:val="28"/>
          <w:shd w:val="clear" w:color="auto" w:fill="FFFFFF"/>
          <w:lang w:eastAsia="zh-TW"/>
        </w:rPr>
        <w:t>，高</w:t>
      </w:r>
      <w:r w:rsidRPr="00DA1DDA">
        <w:rPr>
          <w:rFonts w:ascii="標楷體" w:eastAsia="標楷體" w:hAnsi="標楷體" w:hint="eastAsia"/>
          <w:sz w:val="28"/>
          <w:szCs w:val="28"/>
          <w:shd w:val="clear" w:color="auto" w:fill="FFFFFF"/>
          <w:lang w:eastAsia="zh-TW"/>
        </w:rPr>
        <w:t xml:space="preserve">達 </w:t>
      </w:r>
      <w:r w:rsidRPr="00C87286">
        <w:rPr>
          <w:rFonts w:ascii="Arial" w:eastAsia="標楷體" w:hAnsi="Arial" w:cs="Arial"/>
          <w:sz w:val="28"/>
          <w:szCs w:val="28"/>
          <w:shd w:val="clear" w:color="auto" w:fill="FFFFFF"/>
          <w:lang w:eastAsia="zh-TW"/>
        </w:rPr>
        <w:t>97.5%</w:t>
      </w:r>
      <w:r w:rsidR="007E5650">
        <w:rPr>
          <w:rFonts w:ascii="標楷體" w:eastAsia="標楷體" w:hAnsi="標楷體" w:hint="eastAsia"/>
          <w:sz w:val="28"/>
          <w:szCs w:val="28"/>
          <w:shd w:val="clear" w:color="auto" w:fill="FFFFFF"/>
          <w:lang w:eastAsia="zh-TW"/>
        </w:rPr>
        <w:t>，</w:t>
      </w:r>
      <w:r w:rsidRPr="00DA1DDA">
        <w:rPr>
          <w:rFonts w:ascii="標楷體" w:eastAsia="標楷體" w:hAnsi="標楷體" w:hint="eastAsia"/>
          <w:sz w:val="28"/>
          <w:szCs w:val="28"/>
          <w:shd w:val="clear" w:color="auto" w:fill="FFFFFF"/>
          <w:lang w:eastAsia="zh-TW"/>
        </w:rPr>
        <w:t>太陽能</w:t>
      </w:r>
      <w:proofErr w:type="gramStart"/>
      <w:r w:rsidRPr="00DA1DDA">
        <w:rPr>
          <w:rFonts w:ascii="標楷體" w:eastAsia="標楷體" w:hAnsi="標楷體" w:hint="eastAsia"/>
          <w:sz w:val="28"/>
          <w:szCs w:val="28"/>
          <w:shd w:val="clear" w:color="auto" w:fill="FFFFFF"/>
          <w:lang w:eastAsia="zh-TW"/>
        </w:rPr>
        <w:t>逆變器</w:t>
      </w:r>
      <w:proofErr w:type="gramEnd"/>
      <w:r w:rsidRPr="00DA1DDA">
        <w:rPr>
          <w:rFonts w:ascii="標楷體" w:eastAsia="標楷體" w:hAnsi="標楷體" w:hint="eastAsia"/>
          <w:sz w:val="28"/>
          <w:szCs w:val="28"/>
          <w:shd w:val="clear" w:color="auto" w:fill="FFFFFF"/>
          <w:lang w:eastAsia="zh-TW"/>
        </w:rPr>
        <w:t xml:space="preserve">效率更高達 </w:t>
      </w:r>
      <w:r w:rsidRPr="00C87286">
        <w:rPr>
          <w:rFonts w:ascii="Arial" w:eastAsia="標楷體" w:hAnsi="Arial" w:cs="Arial"/>
          <w:sz w:val="28"/>
          <w:szCs w:val="28"/>
          <w:shd w:val="clear" w:color="auto" w:fill="FFFFFF"/>
          <w:lang w:eastAsia="zh-TW"/>
        </w:rPr>
        <w:t>98.8%</w:t>
      </w:r>
      <w:r w:rsidRPr="00DA1DDA">
        <w:rPr>
          <w:rFonts w:ascii="標楷體" w:eastAsia="標楷體" w:hAnsi="標楷體" w:hint="eastAsia"/>
          <w:sz w:val="28"/>
          <w:szCs w:val="28"/>
          <w:shd w:val="clear" w:color="auto" w:fill="FFFFFF"/>
          <w:lang w:eastAsia="zh-TW"/>
        </w:rPr>
        <w:t>。</w:t>
      </w:r>
      <w:r w:rsidR="00303AB5" w:rsidRPr="00303AB5">
        <w:rPr>
          <w:rFonts w:ascii="標楷體" w:eastAsia="標楷體" w:hAnsi="標楷體" w:hint="eastAsia"/>
          <w:sz w:val="28"/>
          <w:szCs w:val="28"/>
          <w:shd w:val="clear" w:color="auto" w:fill="FFFFFF"/>
          <w:lang w:eastAsia="zh-TW"/>
        </w:rPr>
        <w:t>台達</w:t>
      </w:r>
      <w:r w:rsidR="00360326">
        <w:rPr>
          <w:rFonts w:ascii="標楷體" w:eastAsia="標楷體" w:hAnsi="標楷體" w:hint="eastAsia"/>
          <w:sz w:val="28"/>
          <w:szCs w:val="28"/>
          <w:shd w:val="clear" w:color="auto" w:fill="FFFFFF"/>
          <w:lang w:eastAsia="zh-TW"/>
        </w:rPr>
        <w:t>亦</w:t>
      </w:r>
      <w:r w:rsidR="003E6E2C">
        <w:rPr>
          <w:rFonts w:ascii="標楷體" w:eastAsia="標楷體" w:hAnsi="標楷體" w:hint="eastAsia"/>
          <w:sz w:val="28"/>
          <w:szCs w:val="28"/>
          <w:shd w:val="clear" w:color="auto" w:fill="FFFFFF"/>
          <w:lang w:eastAsia="zh-TW"/>
        </w:rPr>
        <w:t>整合先進技術與產品來發展節能整合方案</w:t>
      </w:r>
      <w:r w:rsidR="00303AB5" w:rsidRPr="00303AB5">
        <w:rPr>
          <w:rFonts w:ascii="標楷體" w:eastAsia="標楷體" w:hAnsi="標楷體" w:hint="eastAsia"/>
          <w:sz w:val="28"/>
          <w:szCs w:val="28"/>
          <w:shd w:val="clear" w:color="auto" w:fill="FFFFFF"/>
          <w:lang w:eastAsia="zh-TW"/>
        </w:rPr>
        <w:t>，</w:t>
      </w:r>
      <w:r w:rsidR="000867E0">
        <w:rPr>
          <w:rFonts w:ascii="標楷體" w:eastAsia="標楷體" w:hAnsi="標楷體" w:hint="eastAsia"/>
          <w:sz w:val="28"/>
          <w:szCs w:val="28"/>
          <w:shd w:val="clear" w:color="auto" w:fill="FFFFFF"/>
          <w:lang w:eastAsia="zh-TW"/>
        </w:rPr>
        <w:t>例如</w:t>
      </w:r>
      <w:r w:rsidR="00360326">
        <w:rPr>
          <w:rFonts w:ascii="標楷體" w:eastAsia="標楷體" w:hAnsi="標楷體" w:hint="eastAsia"/>
          <w:sz w:val="28"/>
          <w:szCs w:val="28"/>
          <w:shd w:val="clear" w:color="auto" w:fill="FFFFFF"/>
          <w:lang w:eastAsia="zh-TW"/>
        </w:rPr>
        <w:t>：</w:t>
      </w:r>
      <w:r w:rsidR="000867E0">
        <w:rPr>
          <w:rFonts w:ascii="標楷體" w:eastAsia="標楷體" w:hAnsi="標楷體" w:hint="eastAsia"/>
          <w:sz w:val="28"/>
          <w:szCs w:val="28"/>
          <w:shd w:val="clear" w:color="auto" w:fill="FFFFFF"/>
          <w:lang w:eastAsia="zh-TW"/>
        </w:rPr>
        <w:t>工業自動化、樓宇自動化、通訊電源、再可生能源、資料中心、視訊及監控與電動車充電解決方案</w:t>
      </w:r>
      <w:r w:rsidR="007E5650">
        <w:rPr>
          <w:rFonts w:ascii="標楷體" w:eastAsia="標楷體" w:hAnsi="標楷體" w:hint="eastAsia"/>
          <w:sz w:val="28"/>
          <w:szCs w:val="28"/>
          <w:shd w:val="clear" w:color="auto" w:fill="FFFFFF"/>
          <w:lang w:eastAsia="zh-TW"/>
        </w:rPr>
        <w:t>等</w:t>
      </w:r>
      <w:r w:rsidR="00360326">
        <w:rPr>
          <w:rFonts w:ascii="標楷體" w:eastAsia="標楷體" w:hAnsi="標楷體" w:hint="eastAsia"/>
          <w:sz w:val="28"/>
          <w:szCs w:val="28"/>
          <w:shd w:val="clear" w:color="auto" w:fill="FFFFFF"/>
          <w:lang w:eastAsia="zh-TW"/>
        </w:rPr>
        <w:t>，助力環境永續發展</w:t>
      </w:r>
      <w:r w:rsidR="000867E0">
        <w:rPr>
          <w:rFonts w:ascii="標楷體" w:eastAsia="標楷體" w:hAnsi="標楷體" w:hint="eastAsia"/>
          <w:sz w:val="28"/>
          <w:szCs w:val="28"/>
          <w:shd w:val="clear" w:color="auto" w:fill="FFFFFF"/>
          <w:lang w:eastAsia="zh-TW"/>
        </w:rPr>
        <w:t>。</w:t>
      </w:r>
    </w:p>
    <w:p w:rsidR="00291E5A" w:rsidRPr="00694507" w:rsidRDefault="004541C9" w:rsidP="004541C9">
      <w:pPr>
        <w:widowControl w:val="0"/>
        <w:spacing w:line="0" w:lineRule="atLeast"/>
        <w:jc w:val="center"/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</w:pPr>
      <w:r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lastRenderedPageBreak/>
        <w:t>＃　＃　＃</w:t>
      </w:r>
    </w:p>
    <w:p w:rsidR="00BF0174" w:rsidRDefault="00BF0174" w:rsidP="00BF0174">
      <w:pPr>
        <w:tabs>
          <w:tab w:val="left" w:pos="4320"/>
          <w:tab w:val="left" w:pos="5220"/>
          <w:tab w:val="left" w:pos="5580"/>
        </w:tabs>
        <w:spacing w:line="360" w:lineRule="exact"/>
        <w:ind w:right="-28"/>
        <w:jc w:val="both"/>
        <w:rPr>
          <w:rFonts w:ascii="Arial" w:eastAsia="標楷體" w:hAnsi="Arial" w:cs="Arial"/>
          <w:bCs/>
          <w:lang w:eastAsia="zh-TW"/>
        </w:rPr>
      </w:pPr>
      <w:r>
        <w:rPr>
          <w:rFonts w:ascii="Arial" w:eastAsia="標楷體" w:hAnsi="Arial" w:cs="Arial" w:hint="eastAsia"/>
          <w:b/>
          <w:lang w:eastAsia="zh-TW"/>
        </w:rPr>
        <w:t>關於台達</w:t>
      </w:r>
      <w:r>
        <w:rPr>
          <w:rFonts w:ascii="Arial" w:eastAsia="標楷體" w:hAnsi="Arial" w:cs="Arial"/>
          <w:bCs/>
          <w:lang w:eastAsia="zh-TW"/>
        </w:rPr>
        <w:br/>
      </w:r>
      <w:r>
        <w:rPr>
          <w:rFonts w:ascii="Arial" w:eastAsia="標楷體" w:hAnsi="Arial" w:cs="Arial" w:hint="eastAsia"/>
          <w:bCs/>
          <w:lang w:eastAsia="zh-TW"/>
        </w:rPr>
        <w:t>台達創立於</w:t>
      </w:r>
      <w:r>
        <w:rPr>
          <w:rFonts w:ascii="Arial" w:eastAsia="標楷體" w:hAnsi="Arial" w:cs="Arial"/>
          <w:bCs/>
          <w:lang w:eastAsia="zh-TW"/>
        </w:rPr>
        <w:t xml:space="preserve"> 1971 </w:t>
      </w:r>
      <w:r>
        <w:rPr>
          <w:rFonts w:ascii="Arial" w:eastAsia="標楷體" w:hAnsi="Arial" w:cs="Arial" w:hint="eastAsia"/>
          <w:bCs/>
          <w:lang w:eastAsia="zh-TW"/>
        </w:rPr>
        <w:t>年，為電源管理與散熱解決方案的領導廠商，並在多項產品領域居世界級重要地位。面對日益嚴重的氣候變遷議題，台達秉持「環保</w:t>
      </w:r>
      <w:r>
        <w:rPr>
          <w:rFonts w:ascii="Arial" w:eastAsia="標楷體" w:hAnsi="Arial" w:cs="Arial"/>
          <w:bCs/>
          <w:lang w:eastAsia="zh-TW"/>
        </w:rPr>
        <w:t xml:space="preserve"> </w:t>
      </w:r>
      <w:r>
        <w:rPr>
          <w:rFonts w:ascii="Arial" w:eastAsia="標楷體" w:hAnsi="Arial" w:cs="Arial" w:hint="eastAsia"/>
          <w:bCs/>
          <w:lang w:eastAsia="zh-TW"/>
        </w:rPr>
        <w:t>節能</w:t>
      </w:r>
      <w:r>
        <w:rPr>
          <w:rFonts w:ascii="Arial" w:eastAsia="標楷體" w:hAnsi="Arial" w:cs="Arial"/>
          <w:bCs/>
          <w:lang w:eastAsia="zh-TW"/>
        </w:rPr>
        <w:t xml:space="preserve"> </w:t>
      </w:r>
      <w:r>
        <w:rPr>
          <w:rFonts w:ascii="Arial" w:eastAsia="標楷體" w:hAnsi="Arial" w:cs="Arial" w:hint="eastAsia"/>
          <w:bCs/>
          <w:lang w:eastAsia="zh-TW"/>
        </w:rPr>
        <w:t>愛地球」的經營使命，運用電力電子核心技術，整合全球資源與創新研發，深耕</w:t>
      </w:r>
      <w:r>
        <w:rPr>
          <w:rFonts w:ascii="Arial" w:eastAsia="標楷體" w:hAnsi="Arial" w:cs="Arial"/>
          <w:bCs/>
          <w:lang w:eastAsia="zh-TW"/>
        </w:rPr>
        <w:t xml:space="preserve"> </w:t>
      </w:r>
      <w:r>
        <w:rPr>
          <w:rFonts w:ascii="Arial" w:eastAsia="標楷體" w:hAnsi="Arial" w:cs="Arial" w:hint="eastAsia"/>
          <w:bCs/>
          <w:lang w:eastAsia="zh-TW"/>
        </w:rPr>
        <w:t>三大業務範疇，包含「電源及零組件」、「能源管理」與「智能綠生活」。同時，台達積極發展品牌，持續提供高效率且可靠的節能整體解決方案。台達營運據點遍佈全球，在台灣、中國大陸、美國、泰國、日本、新加坡、墨</w:t>
      </w:r>
      <w:r>
        <w:rPr>
          <w:rFonts w:ascii="Arial" w:eastAsia="標楷體" w:hAnsi="Arial" w:cs="Arial"/>
          <w:bCs/>
          <w:lang w:eastAsia="zh-TW"/>
        </w:rPr>
        <w:t xml:space="preserve"> </w:t>
      </w:r>
      <w:r>
        <w:rPr>
          <w:rFonts w:ascii="Arial" w:eastAsia="標楷體" w:hAnsi="Arial" w:cs="Arial" w:hint="eastAsia"/>
          <w:bCs/>
          <w:lang w:eastAsia="zh-TW"/>
        </w:rPr>
        <w:t>西哥、印度、巴西以及歐洲等地設有研發中心和生產基地。</w:t>
      </w:r>
    </w:p>
    <w:p w:rsidR="00BF0174" w:rsidRDefault="00BF0174" w:rsidP="00BF0174">
      <w:pPr>
        <w:tabs>
          <w:tab w:val="left" w:pos="4320"/>
          <w:tab w:val="left" w:pos="5220"/>
          <w:tab w:val="left" w:pos="5580"/>
        </w:tabs>
        <w:spacing w:line="360" w:lineRule="exact"/>
        <w:ind w:right="-28"/>
        <w:jc w:val="both"/>
        <w:rPr>
          <w:rFonts w:ascii="Arial" w:eastAsia="標楷體" w:hAnsi="Arial" w:cs="Arial"/>
          <w:bCs/>
          <w:lang w:eastAsia="zh-TW"/>
        </w:rPr>
      </w:pPr>
    </w:p>
    <w:p w:rsidR="00BF0174" w:rsidRDefault="00BF0174" w:rsidP="00BF0174">
      <w:pPr>
        <w:tabs>
          <w:tab w:val="left" w:pos="4320"/>
          <w:tab w:val="left" w:pos="5220"/>
          <w:tab w:val="left" w:pos="5580"/>
        </w:tabs>
        <w:spacing w:after="200" w:line="360" w:lineRule="exact"/>
        <w:ind w:right="-28"/>
        <w:jc w:val="both"/>
        <w:rPr>
          <w:rFonts w:ascii="Arial" w:eastAsia="標楷體" w:hAnsi="Arial" w:cs="Arial"/>
          <w:bCs/>
          <w:lang w:eastAsia="zh-TW"/>
        </w:rPr>
      </w:pPr>
      <w:r>
        <w:rPr>
          <w:rFonts w:ascii="Arial" w:eastAsia="標楷體" w:hAnsi="Arial" w:cs="Arial" w:hint="eastAsia"/>
          <w:bCs/>
          <w:lang w:eastAsia="zh-TW"/>
        </w:rPr>
        <w:t>近年來，台達陸續榮獲多項國際榮耀與肯定。自</w:t>
      </w:r>
      <w:r>
        <w:rPr>
          <w:rFonts w:ascii="Arial" w:eastAsia="標楷體" w:hAnsi="Arial" w:cs="Arial"/>
          <w:bCs/>
          <w:lang w:eastAsia="zh-TW"/>
        </w:rPr>
        <w:t>2011</w:t>
      </w:r>
      <w:r>
        <w:rPr>
          <w:rFonts w:ascii="Arial" w:eastAsia="標楷體" w:hAnsi="Arial" w:cs="Arial" w:hint="eastAsia"/>
          <w:bCs/>
          <w:lang w:eastAsia="zh-TW"/>
        </w:rPr>
        <w:t>年起，連續五年入選</w:t>
      </w:r>
      <w:proofErr w:type="gramStart"/>
      <w:r>
        <w:rPr>
          <w:rFonts w:ascii="Arial" w:eastAsia="標楷體" w:hAnsi="Arial" w:cs="Arial" w:hint="eastAsia"/>
          <w:bCs/>
          <w:lang w:eastAsia="zh-TW"/>
        </w:rPr>
        <w:t>道瓊永續</w:t>
      </w:r>
      <w:proofErr w:type="gramEnd"/>
      <w:r>
        <w:rPr>
          <w:rFonts w:ascii="Arial" w:eastAsia="標楷體" w:hAnsi="Arial" w:cs="Arial" w:hint="eastAsia"/>
          <w:bCs/>
          <w:lang w:eastAsia="zh-TW"/>
        </w:rPr>
        <w:t>指數</w:t>
      </w:r>
      <w:r>
        <w:rPr>
          <w:rFonts w:ascii="Arial" w:eastAsia="標楷體" w:hAnsi="Arial" w:cs="Arial"/>
          <w:bCs/>
          <w:lang w:eastAsia="zh-TW"/>
        </w:rPr>
        <w:t xml:space="preserve">(Dow Jones Sustainability Indexes, </w:t>
      </w:r>
      <w:r>
        <w:rPr>
          <w:rFonts w:ascii="Arial" w:eastAsia="標楷體" w:hAnsi="Arial" w:cs="Arial" w:hint="eastAsia"/>
          <w:bCs/>
          <w:lang w:eastAsia="zh-TW"/>
        </w:rPr>
        <w:t>簡稱</w:t>
      </w:r>
      <w:r>
        <w:rPr>
          <w:rFonts w:ascii="Arial" w:eastAsia="標楷體" w:hAnsi="Arial" w:cs="Arial"/>
          <w:bCs/>
          <w:lang w:eastAsia="zh-TW"/>
        </w:rPr>
        <w:t xml:space="preserve">DJSI) </w:t>
      </w:r>
      <w:r>
        <w:rPr>
          <w:rFonts w:ascii="Arial" w:eastAsia="標楷體" w:hAnsi="Arial" w:cs="Arial" w:hint="eastAsia"/>
          <w:bCs/>
          <w:lang w:eastAsia="zh-TW"/>
        </w:rPr>
        <w:t>之「世界指數」</w:t>
      </w:r>
      <w:r>
        <w:rPr>
          <w:rFonts w:ascii="Arial" w:eastAsia="標楷體" w:hAnsi="Arial" w:cs="Arial"/>
          <w:bCs/>
          <w:lang w:eastAsia="zh-TW"/>
        </w:rPr>
        <w:t>(DJSI World)</w:t>
      </w:r>
      <w:r>
        <w:rPr>
          <w:rFonts w:ascii="Arial" w:eastAsia="標楷體" w:hAnsi="Arial" w:cs="Arial" w:hint="eastAsia"/>
          <w:bCs/>
          <w:lang w:eastAsia="zh-TW"/>
        </w:rPr>
        <w:t>，</w:t>
      </w:r>
      <w:r>
        <w:rPr>
          <w:rFonts w:ascii="Arial" w:eastAsia="標楷體" w:hAnsi="Arial" w:cs="Arial"/>
          <w:bCs/>
          <w:lang w:eastAsia="zh-TW"/>
        </w:rPr>
        <w:t>2015</w:t>
      </w:r>
      <w:r>
        <w:rPr>
          <w:rFonts w:ascii="Arial" w:eastAsia="標楷體" w:hAnsi="Arial" w:cs="Arial" w:hint="eastAsia"/>
          <w:bCs/>
          <w:lang w:eastAsia="zh-TW"/>
        </w:rPr>
        <w:t>年總體評分躍居全球電子設備產業之首，並連續三年蟬聯「新興市場指數」</w:t>
      </w:r>
      <w:r>
        <w:rPr>
          <w:rFonts w:ascii="Arial" w:eastAsia="標楷體" w:hAnsi="Arial" w:cs="Arial"/>
          <w:bCs/>
          <w:lang w:eastAsia="zh-TW"/>
        </w:rPr>
        <w:t>(DJSI-Emerging Markets)</w:t>
      </w:r>
      <w:r>
        <w:rPr>
          <w:rFonts w:ascii="Arial" w:eastAsia="標楷體" w:hAnsi="Arial" w:cs="Arial" w:hint="eastAsia"/>
          <w:bCs/>
          <w:lang w:eastAsia="zh-TW"/>
        </w:rPr>
        <w:t>」；</w:t>
      </w:r>
      <w:r>
        <w:rPr>
          <w:rFonts w:ascii="Arial" w:eastAsia="標楷體" w:hAnsi="Arial" w:cs="Arial"/>
          <w:bCs/>
          <w:lang w:eastAsia="zh-TW"/>
        </w:rPr>
        <w:t>2014</w:t>
      </w:r>
      <w:r>
        <w:rPr>
          <w:rFonts w:ascii="Arial" w:eastAsia="標楷體" w:hAnsi="Arial" w:cs="Arial" w:hint="eastAsia"/>
          <w:bCs/>
          <w:lang w:eastAsia="zh-TW"/>
        </w:rPr>
        <w:t>年</w:t>
      </w:r>
      <w:r>
        <w:rPr>
          <w:rFonts w:ascii="Arial" w:eastAsia="標楷體" w:hAnsi="Arial" w:cs="Arial"/>
          <w:bCs/>
          <w:lang w:eastAsia="zh-TW"/>
        </w:rPr>
        <w:t>CDP(</w:t>
      </w:r>
      <w:r>
        <w:rPr>
          <w:rFonts w:ascii="Arial" w:eastAsia="標楷體" w:hAnsi="Arial" w:cs="Arial" w:hint="eastAsia"/>
          <w:bCs/>
          <w:lang w:eastAsia="zh-TW"/>
        </w:rPr>
        <w:t>國際碳揭露專案</w:t>
      </w:r>
      <w:r>
        <w:rPr>
          <w:rFonts w:ascii="Arial" w:eastAsia="標楷體" w:hAnsi="Arial" w:cs="Arial"/>
          <w:bCs/>
          <w:lang w:eastAsia="zh-TW"/>
        </w:rPr>
        <w:t>)</w:t>
      </w:r>
      <w:r>
        <w:rPr>
          <w:rFonts w:ascii="Arial" w:eastAsia="標楷體" w:hAnsi="Arial" w:cs="Arial" w:hint="eastAsia"/>
          <w:bCs/>
          <w:lang w:eastAsia="zh-TW"/>
        </w:rPr>
        <w:t>年度評比結果揭曉，台達從全球近</w:t>
      </w:r>
      <w:r>
        <w:rPr>
          <w:rFonts w:ascii="Arial" w:eastAsia="標楷體" w:hAnsi="Arial" w:cs="Arial"/>
          <w:bCs/>
          <w:lang w:eastAsia="zh-TW"/>
        </w:rPr>
        <w:t>2,000</w:t>
      </w:r>
      <w:r>
        <w:rPr>
          <w:rFonts w:ascii="Arial" w:eastAsia="標楷體" w:hAnsi="Arial" w:cs="Arial" w:hint="eastAsia"/>
          <w:bCs/>
          <w:lang w:eastAsia="zh-TW"/>
        </w:rPr>
        <w:t>家參與</w:t>
      </w:r>
      <w:r>
        <w:rPr>
          <w:rFonts w:ascii="Arial" w:eastAsia="標楷體" w:hAnsi="Arial" w:cs="Arial"/>
          <w:bCs/>
          <w:lang w:eastAsia="zh-TW"/>
        </w:rPr>
        <w:t>CDP</w:t>
      </w:r>
      <w:r>
        <w:rPr>
          <w:rFonts w:ascii="Arial" w:eastAsia="標楷體" w:hAnsi="Arial" w:cs="Arial" w:hint="eastAsia"/>
          <w:bCs/>
          <w:lang w:eastAsia="zh-TW"/>
        </w:rPr>
        <w:t>評比的上市企業中脫穎而出，不僅獲得最高等級</w:t>
      </w:r>
      <w:r>
        <w:rPr>
          <w:rFonts w:ascii="Arial" w:eastAsia="標楷體" w:hAnsi="Arial" w:cs="Arial"/>
          <w:bCs/>
          <w:lang w:eastAsia="zh-TW"/>
        </w:rPr>
        <w:t>A</w:t>
      </w:r>
      <w:r>
        <w:rPr>
          <w:rFonts w:ascii="Arial" w:eastAsia="標楷體" w:hAnsi="Arial" w:cs="Arial" w:hint="eastAsia"/>
          <w:bCs/>
          <w:lang w:eastAsia="zh-TW"/>
        </w:rPr>
        <w:t>級評價，更是大中華區唯一入選氣候績效領導指數</w:t>
      </w:r>
      <w:r>
        <w:rPr>
          <w:rFonts w:ascii="Arial" w:eastAsia="標楷體" w:hAnsi="Arial" w:cs="Arial"/>
          <w:bCs/>
          <w:lang w:eastAsia="zh-TW"/>
        </w:rPr>
        <w:t xml:space="preserve"> (Climate Performance Leadership Index, CPLI)</w:t>
      </w:r>
      <w:r>
        <w:rPr>
          <w:rFonts w:ascii="Arial" w:eastAsia="標楷體" w:hAnsi="Arial" w:cs="Arial" w:hint="eastAsia"/>
          <w:bCs/>
          <w:lang w:eastAsia="zh-TW"/>
        </w:rPr>
        <w:t>之企業。</w:t>
      </w:r>
      <w:r>
        <w:rPr>
          <w:rFonts w:ascii="Arial" w:eastAsia="標楷體" w:hAnsi="Arial" w:cs="Arial"/>
          <w:bCs/>
          <w:lang w:eastAsia="zh-TW"/>
        </w:rPr>
        <w:t xml:space="preserve"> </w:t>
      </w:r>
    </w:p>
    <w:p w:rsidR="00BF0174" w:rsidRDefault="00BF0174" w:rsidP="00BF0174">
      <w:pPr>
        <w:tabs>
          <w:tab w:val="left" w:pos="4320"/>
          <w:tab w:val="left" w:pos="5220"/>
          <w:tab w:val="left" w:pos="5580"/>
        </w:tabs>
        <w:spacing w:after="200" w:line="360" w:lineRule="exact"/>
        <w:ind w:right="-28"/>
        <w:jc w:val="both"/>
        <w:rPr>
          <w:rFonts w:ascii="Arial" w:eastAsia="標楷體" w:hAnsi="Arial" w:cs="Arial"/>
          <w:lang w:val="en-AU" w:eastAsia="zh-TW"/>
        </w:rPr>
      </w:pPr>
      <w:r>
        <w:rPr>
          <w:rFonts w:ascii="Arial" w:eastAsia="標楷體" w:hAnsi="Arial" w:cs="Arial" w:hint="eastAsia"/>
          <w:bCs/>
          <w:lang w:eastAsia="zh-TW"/>
        </w:rPr>
        <w:t>台達集團的詳細資料，請參見：</w:t>
      </w:r>
      <w:hyperlink r:id="rId9" w:history="1">
        <w:r>
          <w:rPr>
            <w:rStyle w:val="a9"/>
            <w:rFonts w:ascii="Arial" w:eastAsia="標楷體" w:hAnsi="Arial" w:cs="Arial"/>
            <w:lang w:val="en-AU" w:eastAsia="zh-TW"/>
          </w:rPr>
          <w:t>www.deltaww.com</w:t>
        </w:r>
      </w:hyperlink>
    </w:p>
    <w:p w:rsidR="00BF0174" w:rsidRDefault="00BF0174" w:rsidP="00BF0174">
      <w:pPr>
        <w:jc w:val="center"/>
        <w:rPr>
          <w:rFonts w:ascii="Arial" w:eastAsia="標楷體" w:hAnsi="Arial" w:cs="Arial"/>
        </w:rPr>
      </w:pPr>
    </w:p>
    <w:p w:rsidR="00BF0174" w:rsidRDefault="00BF0174" w:rsidP="00BF0174">
      <w:pPr>
        <w:tabs>
          <w:tab w:val="left" w:pos="4320"/>
          <w:tab w:val="left" w:pos="5220"/>
          <w:tab w:val="left" w:pos="5580"/>
        </w:tabs>
        <w:spacing w:after="200" w:line="320" w:lineRule="exact"/>
        <w:ind w:right="-28"/>
        <w:jc w:val="both"/>
        <w:rPr>
          <w:rFonts w:ascii="Arial" w:eastAsia="標楷體" w:hAnsi="Arial" w:cs="Arial"/>
          <w:bCs/>
          <w:lang w:eastAsia="zh-TW"/>
        </w:rPr>
      </w:pPr>
      <w:r>
        <w:rPr>
          <w:rFonts w:ascii="Arial" w:eastAsia="標楷體" w:hAnsi="Arial" w:cs="Arial" w:hint="eastAsia"/>
          <w:bCs/>
          <w:lang w:eastAsia="zh-TW"/>
        </w:rPr>
        <w:t>新聞聯絡人：</w:t>
      </w:r>
    </w:p>
    <w:tbl>
      <w:tblPr>
        <w:tblW w:w="882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10"/>
        <w:gridCol w:w="4110"/>
      </w:tblGrid>
      <w:tr w:rsidR="00BF0174" w:rsidTr="00BF0174">
        <w:tc>
          <w:tcPr>
            <w:tcW w:w="4708" w:type="dxa"/>
          </w:tcPr>
          <w:p w:rsidR="00BF0174" w:rsidRDefault="00BF0174">
            <w:pPr>
              <w:tabs>
                <w:tab w:val="left" w:pos="4320"/>
                <w:tab w:val="left" w:pos="5220"/>
                <w:tab w:val="left" w:pos="5580"/>
              </w:tabs>
              <w:spacing w:line="400" w:lineRule="exact"/>
              <w:ind w:right="-28"/>
              <w:rPr>
                <w:rFonts w:ascii="Arial" w:eastAsia="標楷體" w:hAnsi="Arial" w:cs="Arial"/>
                <w:color w:val="000000"/>
                <w:lang w:eastAsia="zh-TW"/>
              </w:rPr>
            </w:pPr>
            <w:r>
              <w:rPr>
                <w:rFonts w:ascii="Arial" w:eastAsia="標楷體" w:hAnsi="Arial" w:cs="Arial" w:hint="eastAsia"/>
                <w:color w:val="000000"/>
                <w:lang w:eastAsia="zh-TW"/>
              </w:rPr>
              <w:t>發言人：</w:t>
            </w:r>
          </w:p>
          <w:p w:rsidR="00BF0174" w:rsidRDefault="00BF0174">
            <w:pPr>
              <w:spacing w:line="400" w:lineRule="exact"/>
              <w:rPr>
                <w:rFonts w:ascii="Arial" w:eastAsia="標楷體" w:hAnsi="Arial" w:cs="Arial"/>
                <w:color w:val="000000"/>
                <w:lang w:eastAsia="zh-TW"/>
              </w:rPr>
            </w:pPr>
            <w:r>
              <w:rPr>
                <w:rFonts w:ascii="Arial" w:eastAsia="標楷體" w:hAnsi="Arial" w:cs="Arial" w:hint="eastAsia"/>
                <w:color w:val="000000"/>
                <w:lang w:eastAsia="zh-TW"/>
              </w:rPr>
              <w:t>周志宏</w:t>
            </w:r>
            <w:r>
              <w:rPr>
                <w:rFonts w:ascii="Arial" w:eastAsia="標楷體" w:hAnsi="Arial" w:cs="Arial"/>
                <w:color w:val="000000"/>
                <w:lang w:eastAsia="zh-TW"/>
              </w:rPr>
              <w:t xml:space="preserve">  </w:t>
            </w:r>
            <w:r>
              <w:rPr>
                <w:rFonts w:ascii="Arial" w:eastAsia="標楷體" w:hAnsi="Arial" w:cs="Arial" w:hint="eastAsia"/>
                <w:color w:val="000000"/>
                <w:lang w:eastAsia="zh-TW"/>
              </w:rPr>
              <w:t>資深協理</w:t>
            </w:r>
          </w:p>
          <w:p w:rsidR="00BF0174" w:rsidRDefault="00BF0174">
            <w:pPr>
              <w:spacing w:line="400" w:lineRule="exact"/>
              <w:rPr>
                <w:rFonts w:ascii="Arial" w:eastAsia="標楷體" w:hAnsi="Arial" w:cs="Arial"/>
                <w:color w:val="000000"/>
                <w:lang w:val="fr-FR"/>
              </w:rPr>
            </w:pPr>
            <w:r>
              <w:rPr>
                <w:rFonts w:ascii="Arial" w:eastAsia="標楷體" w:hAnsi="Arial" w:cs="Arial"/>
                <w:color w:val="000000"/>
                <w:lang w:val="fr-FR"/>
              </w:rPr>
              <w:t xml:space="preserve">Tel: 02-87972088  ext: 5520  </w:t>
            </w:r>
          </w:p>
          <w:p w:rsidR="00BF0174" w:rsidRDefault="00BF0174">
            <w:pPr>
              <w:spacing w:line="400" w:lineRule="exact"/>
              <w:rPr>
                <w:rFonts w:ascii="Arial" w:eastAsia="標楷體" w:hAnsi="Arial" w:cs="Arial"/>
                <w:color w:val="000000"/>
                <w:lang w:val="fr-FR"/>
              </w:rPr>
            </w:pPr>
            <w:r>
              <w:rPr>
                <w:rFonts w:ascii="Arial" w:eastAsia="標楷體" w:hAnsi="Arial" w:cs="Arial"/>
                <w:color w:val="000000"/>
                <w:lang w:val="fr-FR"/>
              </w:rPr>
              <w:t xml:space="preserve">Mobile: 0932-113-258  </w:t>
            </w:r>
          </w:p>
          <w:p w:rsidR="00BF0174" w:rsidRDefault="00BF0174">
            <w:pPr>
              <w:spacing w:line="400" w:lineRule="exact"/>
              <w:rPr>
                <w:rFonts w:ascii="Arial" w:eastAsia="標楷體" w:hAnsi="Arial" w:cs="Arial"/>
                <w:color w:val="000000"/>
                <w:lang w:val="fr-FR" w:eastAsia="zh-TW"/>
              </w:rPr>
            </w:pPr>
            <w:r>
              <w:rPr>
                <w:rFonts w:ascii="Arial" w:eastAsia="標楷體" w:hAnsi="Arial" w:cs="Arial"/>
                <w:color w:val="000000"/>
                <w:lang w:val="fr-FR"/>
              </w:rPr>
              <w:t xml:space="preserve">e-mail: </w:t>
            </w:r>
            <w:r>
              <w:rPr>
                <w:rFonts w:ascii="Arial" w:eastAsia="標楷體" w:hAnsi="Arial" w:cs="Arial"/>
                <w:color w:val="0000FF"/>
                <w:lang w:val="fr-FR"/>
              </w:rPr>
              <w:t>jesse.chou@delta</w:t>
            </w:r>
            <w:r>
              <w:rPr>
                <w:rFonts w:ascii="Arial" w:eastAsia="標楷體" w:hAnsi="Arial" w:cs="Arial"/>
                <w:color w:val="0000FF"/>
                <w:lang w:val="fr-FR" w:eastAsia="zh-TW"/>
              </w:rPr>
              <w:t>ww</w:t>
            </w:r>
            <w:r>
              <w:rPr>
                <w:rFonts w:ascii="Arial" w:eastAsia="標楷體" w:hAnsi="Arial" w:cs="Arial"/>
                <w:color w:val="0000FF"/>
                <w:lang w:val="fr-FR"/>
              </w:rPr>
              <w:t>.com</w:t>
            </w:r>
          </w:p>
          <w:p w:rsidR="00BF0174" w:rsidRDefault="00BF0174">
            <w:pPr>
              <w:tabs>
                <w:tab w:val="left" w:pos="3420"/>
                <w:tab w:val="left" w:pos="4320"/>
                <w:tab w:val="left" w:pos="5580"/>
              </w:tabs>
              <w:ind w:right="-28"/>
              <w:rPr>
                <w:rFonts w:ascii="Arial" w:eastAsia="標楷體" w:hAnsi="Arial" w:cs="Arial"/>
                <w:color w:val="000000"/>
                <w:lang w:val="fr-FR"/>
              </w:rPr>
            </w:pPr>
          </w:p>
        </w:tc>
        <w:tc>
          <w:tcPr>
            <w:tcW w:w="4109" w:type="dxa"/>
          </w:tcPr>
          <w:p w:rsidR="00BF0174" w:rsidRDefault="00BF0174">
            <w:pPr>
              <w:tabs>
                <w:tab w:val="left" w:pos="3420"/>
                <w:tab w:val="left" w:pos="5220"/>
                <w:tab w:val="left" w:pos="5580"/>
              </w:tabs>
              <w:spacing w:line="400" w:lineRule="exact"/>
              <w:ind w:right="-28"/>
              <w:rPr>
                <w:rFonts w:ascii="Arial" w:eastAsia="標楷體" w:hAnsi="Arial" w:cs="Arial"/>
                <w:color w:val="000000"/>
                <w:lang w:eastAsia="zh-TW"/>
              </w:rPr>
            </w:pPr>
            <w:r>
              <w:rPr>
                <w:rFonts w:ascii="Arial" w:eastAsia="標楷體" w:hAnsi="Arial" w:cs="Arial" w:hint="eastAsia"/>
                <w:color w:val="000000"/>
                <w:lang w:eastAsia="zh-TW"/>
              </w:rPr>
              <w:t>企業信息部：</w:t>
            </w:r>
            <w:r>
              <w:rPr>
                <w:rFonts w:ascii="Arial" w:eastAsia="標楷體" w:hAnsi="Arial" w:cs="Arial"/>
                <w:color w:val="000000"/>
                <w:lang w:eastAsia="zh-TW"/>
              </w:rPr>
              <w:t xml:space="preserve"> </w:t>
            </w:r>
          </w:p>
          <w:p w:rsidR="00BF0174" w:rsidRDefault="00BF0174">
            <w:pPr>
              <w:tabs>
                <w:tab w:val="left" w:pos="3420"/>
                <w:tab w:val="left" w:pos="4320"/>
                <w:tab w:val="left" w:pos="5580"/>
              </w:tabs>
              <w:spacing w:line="400" w:lineRule="exact"/>
              <w:ind w:right="-28"/>
              <w:rPr>
                <w:rFonts w:ascii="Arial" w:eastAsia="標楷體" w:hAnsi="Arial" w:cs="Arial"/>
                <w:color w:val="000000"/>
                <w:lang w:eastAsia="zh-TW"/>
              </w:rPr>
            </w:pPr>
            <w:r>
              <w:rPr>
                <w:rFonts w:ascii="Arial" w:eastAsia="標楷體" w:hAnsi="Arial" w:cs="Arial" w:hint="eastAsia"/>
                <w:color w:val="000000"/>
                <w:lang w:eastAsia="zh-TW"/>
              </w:rPr>
              <w:t>張凱堯</w:t>
            </w:r>
            <w:r>
              <w:rPr>
                <w:rFonts w:ascii="Arial" w:eastAsia="標楷體" w:hAnsi="Arial" w:cs="Arial"/>
                <w:color w:val="000000"/>
                <w:lang w:eastAsia="zh-TW"/>
              </w:rPr>
              <w:t xml:space="preserve">  </w:t>
            </w:r>
            <w:r>
              <w:rPr>
                <w:rFonts w:ascii="Arial" w:eastAsia="標楷體" w:hAnsi="Arial" w:cs="Arial" w:hint="eastAsia"/>
                <w:color w:val="000000"/>
                <w:lang w:eastAsia="zh-TW"/>
              </w:rPr>
              <w:t>經理</w:t>
            </w:r>
          </w:p>
          <w:p w:rsidR="00BF0174" w:rsidRDefault="00BF0174">
            <w:pPr>
              <w:spacing w:line="400" w:lineRule="exact"/>
              <w:rPr>
                <w:rFonts w:ascii="Arial" w:eastAsia="標楷體" w:hAnsi="Arial" w:cs="Arial"/>
                <w:color w:val="000000"/>
                <w:lang w:val="fr-FR"/>
              </w:rPr>
            </w:pPr>
            <w:r>
              <w:rPr>
                <w:rFonts w:ascii="Arial" w:eastAsia="標楷體" w:hAnsi="Arial" w:cs="Arial"/>
                <w:color w:val="000000"/>
                <w:lang w:val="fr-FR"/>
              </w:rPr>
              <w:t>Tel: 02-87972088  ext: 55</w:t>
            </w:r>
            <w:r>
              <w:rPr>
                <w:rFonts w:ascii="Arial" w:eastAsia="標楷體" w:hAnsi="Arial" w:cs="Arial"/>
                <w:color w:val="000000"/>
                <w:lang w:val="fr-FR" w:eastAsia="zh-TW"/>
              </w:rPr>
              <w:t>11</w:t>
            </w:r>
            <w:r>
              <w:rPr>
                <w:rFonts w:ascii="Arial" w:eastAsia="標楷體" w:hAnsi="Arial" w:cs="Arial"/>
                <w:color w:val="000000"/>
                <w:lang w:val="fr-FR"/>
              </w:rPr>
              <w:t xml:space="preserve"> </w:t>
            </w:r>
          </w:p>
          <w:p w:rsidR="00BF0174" w:rsidRDefault="00BF0174">
            <w:pPr>
              <w:spacing w:line="400" w:lineRule="exact"/>
              <w:rPr>
                <w:rFonts w:ascii="Arial" w:eastAsia="標楷體" w:hAnsi="Arial" w:cs="Arial"/>
                <w:color w:val="000000"/>
                <w:lang w:val="fr-FR"/>
              </w:rPr>
            </w:pPr>
            <w:r>
              <w:rPr>
                <w:rFonts w:ascii="Arial" w:eastAsia="標楷體" w:hAnsi="Arial" w:cs="Arial"/>
                <w:color w:val="000000"/>
                <w:lang w:val="fr-FR"/>
              </w:rPr>
              <w:t>Mobile: 09</w:t>
            </w:r>
            <w:r>
              <w:rPr>
                <w:rFonts w:ascii="Arial" w:eastAsia="標楷體" w:hAnsi="Arial" w:cs="Arial"/>
                <w:color w:val="000000"/>
                <w:lang w:val="fr-FR" w:eastAsia="zh-TW"/>
              </w:rPr>
              <w:t>55</w:t>
            </w:r>
            <w:r>
              <w:rPr>
                <w:rFonts w:ascii="Arial" w:eastAsia="標楷體" w:hAnsi="Arial" w:cs="Arial"/>
                <w:color w:val="000000"/>
                <w:lang w:val="fr-FR"/>
              </w:rPr>
              <w:t>-2</w:t>
            </w:r>
            <w:r>
              <w:rPr>
                <w:rFonts w:ascii="Arial" w:eastAsia="標楷體" w:hAnsi="Arial" w:cs="Arial"/>
                <w:color w:val="000000"/>
                <w:lang w:val="fr-FR" w:eastAsia="zh-TW"/>
              </w:rPr>
              <w:t>17</w:t>
            </w:r>
            <w:r>
              <w:rPr>
                <w:rFonts w:ascii="Arial" w:eastAsia="標楷體" w:hAnsi="Arial" w:cs="Arial"/>
                <w:color w:val="000000"/>
                <w:lang w:val="fr-FR"/>
              </w:rPr>
              <w:t>-</w:t>
            </w:r>
            <w:r>
              <w:rPr>
                <w:rFonts w:ascii="Arial" w:eastAsia="標楷體" w:hAnsi="Arial" w:cs="Arial"/>
                <w:color w:val="000000"/>
                <w:lang w:val="fr-FR" w:eastAsia="zh-TW"/>
              </w:rPr>
              <w:t>3</w:t>
            </w:r>
            <w:r>
              <w:rPr>
                <w:rFonts w:ascii="Arial" w:eastAsia="標楷體" w:hAnsi="Arial" w:cs="Arial"/>
                <w:color w:val="000000"/>
                <w:lang w:val="fr-FR"/>
              </w:rPr>
              <w:t xml:space="preserve">11  </w:t>
            </w:r>
          </w:p>
          <w:p w:rsidR="00BF0174" w:rsidRDefault="00BF0174">
            <w:pPr>
              <w:spacing w:line="400" w:lineRule="exact"/>
              <w:rPr>
                <w:rFonts w:ascii="Arial" w:eastAsia="標楷體" w:hAnsi="Arial" w:cs="Arial"/>
                <w:color w:val="000000"/>
                <w:lang w:val="fr-FR" w:eastAsia="zh-TW"/>
              </w:rPr>
            </w:pPr>
            <w:r>
              <w:rPr>
                <w:rFonts w:ascii="Arial" w:eastAsia="標楷體" w:hAnsi="Arial" w:cs="Arial"/>
                <w:color w:val="000000"/>
                <w:lang w:val="fr-FR"/>
              </w:rPr>
              <w:t>e-mail:</w:t>
            </w:r>
            <w:r>
              <w:rPr>
                <w:rFonts w:ascii="Arial" w:eastAsia="標楷體" w:hAnsi="Arial" w:cs="Arial"/>
                <w:color w:val="0000FF"/>
                <w:lang w:val="fr-FR" w:eastAsia="zh-TW"/>
              </w:rPr>
              <w:t>thomas.chang</w:t>
            </w:r>
            <w:r>
              <w:rPr>
                <w:rFonts w:ascii="Arial" w:eastAsia="標楷體" w:hAnsi="Arial" w:cs="Arial"/>
                <w:color w:val="0000FF"/>
                <w:lang w:val="fr-FR"/>
              </w:rPr>
              <w:t>@delta</w:t>
            </w:r>
            <w:r>
              <w:rPr>
                <w:rFonts w:ascii="Arial" w:eastAsia="標楷體" w:hAnsi="Arial" w:cs="Arial"/>
                <w:color w:val="0000FF"/>
                <w:lang w:val="fr-FR" w:eastAsia="zh-TW"/>
              </w:rPr>
              <w:t>ww</w:t>
            </w:r>
            <w:r>
              <w:rPr>
                <w:rFonts w:ascii="Arial" w:eastAsia="標楷體" w:hAnsi="Arial" w:cs="Arial"/>
                <w:color w:val="0000FF"/>
                <w:lang w:val="fr-FR"/>
              </w:rPr>
              <w:t>.com</w:t>
            </w:r>
          </w:p>
          <w:p w:rsidR="00BF0174" w:rsidRDefault="00BF0174">
            <w:pPr>
              <w:tabs>
                <w:tab w:val="left" w:pos="3420"/>
                <w:tab w:val="left" w:pos="4320"/>
                <w:tab w:val="left" w:pos="5580"/>
              </w:tabs>
              <w:ind w:right="-28"/>
              <w:rPr>
                <w:rFonts w:ascii="Arial" w:eastAsia="標楷體" w:hAnsi="Arial" w:cs="Arial"/>
                <w:color w:val="000000"/>
                <w:lang w:val="fr-FR"/>
              </w:rPr>
            </w:pPr>
          </w:p>
        </w:tc>
      </w:tr>
    </w:tbl>
    <w:p w:rsidR="00BF0174" w:rsidRDefault="00BF0174" w:rsidP="00BF0174">
      <w:pPr>
        <w:rPr>
          <w:lang w:val="fr-FR" w:eastAsia="zh-TW"/>
        </w:rPr>
      </w:pPr>
    </w:p>
    <w:p w:rsidR="00694507" w:rsidRPr="00BF0174" w:rsidRDefault="00694507" w:rsidP="00BF0174">
      <w:pPr>
        <w:widowControl w:val="0"/>
        <w:spacing w:line="0" w:lineRule="atLeast"/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val="fr-FR" w:eastAsia="zh-TW"/>
        </w:rPr>
      </w:pPr>
    </w:p>
    <w:sectPr w:rsidR="00694507" w:rsidRPr="00BF0174" w:rsidSect="00024CB1">
      <w:headerReference w:type="default" r:id="rId10"/>
      <w:footerReference w:type="even" r:id="rId11"/>
      <w:footerReference w:type="default" r:id="rId12"/>
      <w:pgSz w:w="11906" w:h="16838"/>
      <w:pgMar w:top="1985" w:right="1134" w:bottom="568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DD7" w:rsidRDefault="00D50DD7" w:rsidP="00F13679">
      <w:r>
        <w:separator/>
      </w:r>
    </w:p>
  </w:endnote>
  <w:endnote w:type="continuationSeparator" w:id="0">
    <w:p w:rsidR="00D50DD7" w:rsidRDefault="00D50DD7" w:rsidP="00F1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690" w:rsidRDefault="00E61690" w:rsidP="002B7825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61690" w:rsidRDefault="00E61690" w:rsidP="00E3727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2211915"/>
      <w:docPartObj>
        <w:docPartGallery w:val="Page Numbers (Bottom of Page)"/>
        <w:docPartUnique/>
      </w:docPartObj>
    </w:sdtPr>
    <w:sdtEndPr/>
    <w:sdtContent>
      <w:p w:rsidR="00E61690" w:rsidRDefault="00E616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074" w:rsidRPr="00761074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E61690" w:rsidRDefault="00E61690" w:rsidP="00E3727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DD7" w:rsidRDefault="00D50DD7" w:rsidP="00F13679">
      <w:r>
        <w:separator/>
      </w:r>
    </w:p>
  </w:footnote>
  <w:footnote w:type="continuationSeparator" w:id="0">
    <w:p w:rsidR="00D50DD7" w:rsidRDefault="00D50DD7" w:rsidP="00F13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690" w:rsidRDefault="00E61690" w:rsidP="00B230B1">
    <w:pPr>
      <w:pStyle w:val="a3"/>
      <w:ind w:firstLineChars="3650" w:firstLine="7300"/>
      <w:rPr>
        <w:lang w:eastAsia="zh-TW"/>
      </w:rPr>
    </w:pPr>
    <w:r>
      <w:rPr>
        <w:noProof/>
        <w:lang w:val="en-US" w:eastAsia="zh-TW"/>
      </w:rPr>
      <w:drawing>
        <wp:anchor distT="0" distB="0" distL="114300" distR="114300" simplePos="0" relativeHeight="251657728" behindDoc="1" locked="0" layoutInCell="1" allowOverlap="1" wp14:anchorId="4F9137EE" wp14:editId="111B8778">
          <wp:simplePos x="0" y="0"/>
          <wp:positionH relativeFrom="column">
            <wp:posOffset>-723900</wp:posOffset>
          </wp:positionH>
          <wp:positionV relativeFrom="paragraph">
            <wp:posOffset>-518795</wp:posOffset>
          </wp:positionV>
          <wp:extent cx="7559040" cy="10690860"/>
          <wp:effectExtent l="0" t="0" r="3810" b="0"/>
          <wp:wrapNone/>
          <wp:docPr id="1" name="圖片 1" descr="300_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300_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4CE5"/>
    <w:multiLevelType w:val="hybridMultilevel"/>
    <w:tmpl w:val="297E2DC8"/>
    <w:lvl w:ilvl="0" w:tplc="C1CAE0D0">
      <w:numFmt w:val="bullet"/>
      <w:lvlText w:val=""/>
      <w:lvlJc w:val="left"/>
      <w:pPr>
        <w:tabs>
          <w:tab w:val="num" w:pos="800"/>
        </w:tabs>
        <w:ind w:left="80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80"/>
        </w:tabs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40"/>
        </w:tabs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20"/>
        </w:tabs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0"/>
        </w:tabs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80"/>
        </w:tabs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60"/>
        </w:tabs>
        <w:ind w:left="4760" w:hanging="480"/>
      </w:pPr>
      <w:rPr>
        <w:rFonts w:ascii="Wingdings" w:hAnsi="Wingdings" w:hint="default"/>
      </w:rPr>
    </w:lvl>
  </w:abstractNum>
  <w:abstractNum w:abstractNumId="1">
    <w:nsid w:val="098C7F8B"/>
    <w:multiLevelType w:val="hybridMultilevel"/>
    <w:tmpl w:val="8DB4BED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3412FAA"/>
    <w:multiLevelType w:val="hybridMultilevel"/>
    <w:tmpl w:val="AACCE6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D6B0AF8"/>
    <w:multiLevelType w:val="hybridMultilevel"/>
    <w:tmpl w:val="0410510C"/>
    <w:lvl w:ilvl="0" w:tplc="A9883FF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F032F3C"/>
    <w:multiLevelType w:val="hybridMultilevel"/>
    <w:tmpl w:val="7E6A463A"/>
    <w:lvl w:ilvl="0" w:tplc="3B78FE96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0AC637C"/>
    <w:multiLevelType w:val="hybridMultilevel"/>
    <w:tmpl w:val="9680323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lang w:val="en-US"/>
      </w:rPr>
    </w:lvl>
    <w:lvl w:ilvl="1" w:tplc="0E0ADD80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color w:val="000000" w:themeColor="text1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3DC4DC4"/>
    <w:multiLevelType w:val="hybridMultilevel"/>
    <w:tmpl w:val="15F25A36"/>
    <w:lvl w:ilvl="0" w:tplc="2A8206C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FA521C7"/>
    <w:multiLevelType w:val="hybridMultilevel"/>
    <w:tmpl w:val="CBD2D9EA"/>
    <w:lvl w:ilvl="0" w:tplc="EA901C52">
      <w:numFmt w:val="bullet"/>
      <w:lvlText w:val="-"/>
      <w:lvlJc w:val="left"/>
      <w:pPr>
        <w:ind w:left="720" w:hanging="360"/>
      </w:pPr>
      <w:rPr>
        <w:rFonts w:ascii="Arial" w:eastAsia="標楷體" w:hAnsi="Arial" w:cs="Aria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8">
    <w:nsid w:val="51F67F24"/>
    <w:multiLevelType w:val="hybridMultilevel"/>
    <w:tmpl w:val="1004C3C0"/>
    <w:lvl w:ilvl="0" w:tplc="2A8206C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48B212D"/>
    <w:multiLevelType w:val="hybridMultilevel"/>
    <w:tmpl w:val="03308D5A"/>
    <w:lvl w:ilvl="0" w:tplc="93EC7372">
      <w:start w:val="1"/>
      <w:numFmt w:val="bullet"/>
      <w:lvlText w:val="‧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3981463"/>
    <w:multiLevelType w:val="hybridMultilevel"/>
    <w:tmpl w:val="5C2A0BE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lang w:val="en-US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9250F39"/>
    <w:multiLevelType w:val="hybridMultilevel"/>
    <w:tmpl w:val="763C44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2284BA0"/>
    <w:multiLevelType w:val="hybridMultilevel"/>
    <w:tmpl w:val="FEA21A74"/>
    <w:lvl w:ilvl="0" w:tplc="A9883FF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2794C7B"/>
    <w:multiLevelType w:val="hybridMultilevel"/>
    <w:tmpl w:val="BB8EC280"/>
    <w:lvl w:ilvl="0" w:tplc="A9883FF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10"/>
  </w:num>
  <w:num w:numId="7">
    <w:abstractNumId w:val="9"/>
  </w:num>
  <w:num w:numId="8">
    <w:abstractNumId w:val="2"/>
  </w:num>
  <w:num w:numId="9">
    <w:abstractNumId w:val="5"/>
  </w:num>
  <w:num w:numId="10">
    <w:abstractNumId w:val="11"/>
  </w:num>
  <w:num w:numId="11">
    <w:abstractNumId w:val="7"/>
  </w:num>
  <w:num w:numId="12">
    <w:abstractNumId w:val="3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79"/>
    <w:rsid w:val="00000197"/>
    <w:rsid w:val="0000080A"/>
    <w:rsid w:val="00002C00"/>
    <w:rsid w:val="00004429"/>
    <w:rsid w:val="0000497E"/>
    <w:rsid w:val="00005213"/>
    <w:rsid w:val="00012ABF"/>
    <w:rsid w:val="00013177"/>
    <w:rsid w:val="0001337E"/>
    <w:rsid w:val="0001732E"/>
    <w:rsid w:val="00017334"/>
    <w:rsid w:val="000173A4"/>
    <w:rsid w:val="00020603"/>
    <w:rsid w:val="0002087A"/>
    <w:rsid w:val="00022CA8"/>
    <w:rsid w:val="00023565"/>
    <w:rsid w:val="00024CB1"/>
    <w:rsid w:val="00030DC5"/>
    <w:rsid w:val="00036444"/>
    <w:rsid w:val="00036DBB"/>
    <w:rsid w:val="00042E6F"/>
    <w:rsid w:val="00043081"/>
    <w:rsid w:val="0004489E"/>
    <w:rsid w:val="00045789"/>
    <w:rsid w:val="0005332D"/>
    <w:rsid w:val="0005403C"/>
    <w:rsid w:val="000555E3"/>
    <w:rsid w:val="00061977"/>
    <w:rsid w:val="00061EB5"/>
    <w:rsid w:val="00065ECB"/>
    <w:rsid w:val="0006624E"/>
    <w:rsid w:val="00071327"/>
    <w:rsid w:val="00071CFC"/>
    <w:rsid w:val="000727F8"/>
    <w:rsid w:val="00077913"/>
    <w:rsid w:val="00083688"/>
    <w:rsid w:val="000867E0"/>
    <w:rsid w:val="00092E0C"/>
    <w:rsid w:val="0009422C"/>
    <w:rsid w:val="000970D2"/>
    <w:rsid w:val="000A5C1B"/>
    <w:rsid w:val="000A5D19"/>
    <w:rsid w:val="000A69BF"/>
    <w:rsid w:val="000A6EEF"/>
    <w:rsid w:val="000B0A36"/>
    <w:rsid w:val="000B1EF7"/>
    <w:rsid w:val="000B5267"/>
    <w:rsid w:val="000C2432"/>
    <w:rsid w:val="000D4885"/>
    <w:rsid w:val="000D5523"/>
    <w:rsid w:val="000D68CE"/>
    <w:rsid w:val="000E0D66"/>
    <w:rsid w:val="000E3179"/>
    <w:rsid w:val="000E3BD1"/>
    <w:rsid w:val="000E4E54"/>
    <w:rsid w:val="000E536F"/>
    <w:rsid w:val="000E6AD2"/>
    <w:rsid w:val="000E6F21"/>
    <w:rsid w:val="000F0200"/>
    <w:rsid w:val="000F1E55"/>
    <w:rsid w:val="000F26A3"/>
    <w:rsid w:val="000F2B59"/>
    <w:rsid w:val="000F3516"/>
    <w:rsid w:val="000F361B"/>
    <w:rsid w:val="000F442A"/>
    <w:rsid w:val="000F5B5C"/>
    <w:rsid w:val="001030B7"/>
    <w:rsid w:val="001031FC"/>
    <w:rsid w:val="001054EB"/>
    <w:rsid w:val="0010750E"/>
    <w:rsid w:val="00107B42"/>
    <w:rsid w:val="001108F3"/>
    <w:rsid w:val="001155EE"/>
    <w:rsid w:val="00115798"/>
    <w:rsid w:val="00117E5E"/>
    <w:rsid w:val="00122527"/>
    <w:rsid w:val="00124638"/>
    <w:rsid w:val="001250D2"/>
    <w:rsid w:val="00127706"/>
    <w:rsid w:val="001354F2"/>
    <w:rsid w:val="001375A6"/>
    <w:rsid w:val="0013771C"/>
    <w:rsid w:val="00143446"/>
    <w:rsid w:val="0014490D"/>
    <w:rsid w:val="00145991"/>
    <w:rsid w:val="001462C5"/>
    <w:rsid w:val="00147E02"/>
    <w:rsid w:val="00154A22"/>
    <w:rsid w:val="001579F7"/>
    <w:rsid w:val="001670EF"/>
    <w:rsid w:val="00167A42"/>
    <w:rsid w:val="001740D8"/>
    <w:rsid w:val="0017668F"/>
    <w:rsid w:val="001822FA"/>
    <w:rsid w:val="00186998"/>
    <w:rsid w:val="00186EC8"/>
    <w:rsid w:val="00193E4E"/>
    <w:rsid w:val="001948C1"/>
    <w:rsid w:val="00194D9A"/>
    <w:rsid w:val="00196ADC"/>
    <w:rsid w:val="001A0A0C"/>
    <w:rsid w:val="001A1772"/>
    <w:rsid w:val="001A3496"/>
    <w:rsid w:val="001A3522"/>
    <w:rsid w:val="001A3D5E"/>
    <w:rsid w:val="001A6E25"/>
    <w:rsid w:val="001B0FF4"/>
    <w:rsid w:val="001B74A0"/>
    <w:rsid w:val="001C0E15"/>
    <w:rsid w:val="001C2470"/>
    <w:rsid w:val="001C2AD5"/>
    <w:rsid w:val="001C42EB"/>
    <w:rsid w:val="001C654B"/>
    <w:rsid w:val="001D2164"/>
    <w:rsid w:val="001E67D0"/>
    <w:rsid w:val="001F0305"/>
    <w:rsid w:val="001F1AEC"/>
    <w:rsid w:val="001F5D1C"/>
    <w:rsid w:val="002049A5"/>
    <w:rsid w:val="002062E1"/>
    <w:rsid w:val="0021262A"/>
    <w:rsid w:val="002165DF"/>
    <w:rsid w:val="0022079A"/>
    <w:rsid w:val="002236A2"/>
    <w:rsid w:val="00226E51"/>
    <w:rsid w:val="0022724D"/>
    <w:rsid w:val="00230A9C"/>
    <w:rsid w:val="0023277B"/>
    <w:rsid w:val="0023401A"/>
    <w:rsid w:val="0023555F"/>
    <w:rsid w:val="00236CF7"/>
    <w:rsid w:val="00236F37"/>
    <w:rsid w:val="002370FB"/>
    <w:rsid w:val="00237B24"/>
    <w:rsid w:val="00240B3E"/>
    <w:rsid w:val="00241EF0"/>
    <w:rsid w:val="00243B06"/>
    <w:rsid w:val="00246280"/>
    <w:rsid w:val="0024687F"/>
    <w:rsid w:val="00252DFE"/>
    <w:rsid w:val="002549D3"/>
    <w:rsid w:val="002573BA"/>
    <w:rsid w:val="002579DA"/>
    <w:rsid w:val="0026235E"/>
    <w:rsid w:val="002643EC"/>
    <w:rsid w:val="002660D4"/>
    <w:rsid w:val="00267F63"/>
    <w:rsid w:val="00270C62"/>
    <w:rsid w:val="00272B46"/>
    <w:rsid w:val="0027376E"/>
    <w:rsid w:val="002743E0"/>
    <w:rsid w:val="002747F7"/>
    <w:rsid w:val="002758EC"/>
    <w:rsid w:val="002811B3"/>
    <w:rsid w:val="0028485D"/>
    <w:rsid w:val="00286FF5"/>
    <w:rsid w:val="00287748"/>
    <w:rsid w:val="00291E5A"/>
    <w:rsid w:val="00292089"/>
    <w:rsid w:val="002928E1"/>
    <w:rsid w:val="00295B02"/>
    <w:rsid w:val="0029613F"/>
    <w:rsid w:val="002A1368"/>
    <w:rsid w:val="002A2055"/>
    <w:rsid w:val="002A2BFC"/>
    <w:rsid w:val="002A409B"/>
    <w:rsid w:val="002A6C5E"/>
    <w:rsid w:val="002A6C71"/>
    <w:rsid w:val="002B0C1A"/>
    <w:rsid w:val="002B3A65"/>
    <w:rsid w:val="002B594F"/>
    <w:rsid w:val="002B7374"/>
    <w:rsid w:val="002B7825"/>
    <w:rsid w:val="002C05F3"/>
    <w:rsid w:val="002C1E30"/>
    <w:rsid w:val="002C2417"/>
    <w:rsid w:val="002C3E5A"/>
    <w:rsid w:val="002C5692"/>
    <w:rsid w:val="002C5BF1"/>
    <w:rsid w:val="002C6279"/>
    <w:rsid w:val="002D6931"/>
    <w:rsid w:val="002D6FEA"/>
    <w:rsid w:val="002E6F2F"/>
    <w:rsid w:val="002E7B73"/>
    <w:rsid w:val="002F0FBE"/>
    <w:rsid w:val="002F6C57"/>
    <w:rsid w:val="002F704E"/>
    <w:rsid w:val="0030057B"/>
    <w:rsid w:val="00302AA6"/>
    <w:rsid w:val="00303AB5"/>
    <w:rsid w:val="00306464"/>
    <w:rsid w:val="00313EAF"/>
    <w:rsid w:val="0031530E"/>
    <w:rsid w:val="0031683E"/>
    <w:rsid w:val="003179A1"/>
    <w:rsid w:val="003205C4"/>
    <w:rsid w:val="003256D7"/>
    <w:rsid w:val="00325A27"/>
    <w:rsid w:val="0033196A"/>
    <w:rsid w:val="00331B4B"/>
    <w:rsid w:val="00331BEE"/>
    <w:rsid w:val="00332EEF"/>
    <w:rsid w:val="003345A7"/>
    <w:rsid w:val="00340831"/>
    <w:rsid w:val="00341E93"/>
    <w:rsid w:val="003475FD"/>
    <w:rsid w:val="00347C84"/>
    <w:rsid w:val="003552EF"/>
    <w:rsid w:val="00355467"/>
    <w:rsid w:val="0035714F"/>
    <w:rsid w:val="003575C8"/>
    <w:rsid w:val="00360326"/>
    <w:rsid w:val="00364346"/>
    <w:rsid w:val="00364C3A"/>
    <w:rsid w:val="00366B9C"/>
    <w:rsid w:val="00367998"/>
    <w:rsid w:val="0037441C"/>
    <w:rsid w:val="00375919"/>
    <w:rsid w:val="00382336"/>
    <w:rsid w:val="003837AB"/>
    <w:rsid w:val="00384807"/>
    <w:rsid w:val="003851E0"/>
    <w:rsid w:val="0038540B"/>
    <w:rsid w:val="00393364"/>
    <w:rsid w:val="00393F90"/>
    <w:rsid w:val="00395E45"/>
    <w:rsid w:val="003965B8"/>
    <w:rsid w:val="0039676C"/>
    <w:rsid w:val="003A0312"/>
    <w:rsid w:val="003A3683"/>
    <w:rsid w:val="003A57F7"/>
    <w:rsid w:val="003A6D1B"/>
    <w:rsid w:val="003B1DC2"/>
    <w:rsid w:val="003B34F3"/>
    <w:rsid w:val="003B4595"/>
    <w:rsid w:val="003B56AC"/>
    <w:rsid w:val="003C2452"/>
    <w:rsid w:val="003C3020"/>
    <w:rsid w:val="003C70C1"/>
    <w:rsid w:val="003C7ACC"/>
    <w:rsid w:val="003D40AC"/>
    <w:rsid w:val="003D5F85"/>
    <w:rsid w:val="003D6E19"/>
    <w:rsid w:val="003D7FDD"/>
    <w:rsid w:val="003E0D85"/>
    <w:rsid w:val="003E2091"/>
    <w:rsid w:val="003E33E1"/>
    <w:rsid w:val="003E482E"/>
    <w:rsid w:val="003E5337"/>
    <w:rsid w:val="003E5480"/>
    <w:rsid w:val="003E565A"/>
    <w:rsid w:val="003E64E4"/>
    <w:rsid w:val="003E6E2C"/>
    <w:rsid w:val="003F0B34"/>
    <w:rsid w:val="003F2B64"/>
    <w:rsid w:val="003F2CEA"/>
    <w:rsid w:val="003F485C"/>
    <w:rsid w:val="003F783B"/>
    <w:rsid w:val="004018DB"/>
    <w:rsid w:val="00404362"/>
    <w:rsid w:val="004068C7"/>
    <w:rsid w:val="00410D18"/>
    <w:rsid w:val="0041132C"/>
    <w:rsid w:val="00412166"/>
    <w:rsid w:val="00415AF7"/>
    <w:rsid w:val="004167A6"/>
    <w:rsid w:val="00417833"/>
    <w:rsid w:val="00421518"/>
    <w:rsid w:val="00421DB0"/>
    <w:rsid w:val="00422F5E"/>
    <w:rsid w:val="0042516F"/>
    <w:rsid w:val="00426718"/>
    <w:rsid w:val="0043245E"/>
    <w:rsid w:val="00432CB8"/>
    <w:rsid w:val="00437E92"/>
    <w:rsid w:val="0044050E"/>
    <w:rsid w:val="00440DEB"/>
    <w:rsid w:val="0044132E"/>
    <w:rsid w:val="00442154"/>
    <w:rsid w:val="00442A65"/>
    <w:rsid w:val="00443BF5"/>
    <w:rsid w:val="004473F8"/>
    <w:rsid w:val="00447705"/>
    <w:rsid w:val="004515E2"/>
    <w:rsid w:val="004541C9"/>
    <w:rsid w:val="00460004"/>
    <w:rsid w:val="00460FF2"/>
    <w:rsid w:val="004626AF"/>
    <w:rsid w:val="004637F9"/>
    <w:rsid w:val="00463C08"/>
    <w:rsid w:val="00464019"/>
    <w:rsid w:val="00471B80"/>
    <w:rsid w:val="0047454C"/>
    <w:rsid w:val="00475720"/>
    <w:rsid w:val="004800B5"/>
    <w:rsid w:val="00482AC5"/>
    <w:rsid w:val="00483691"/>
    <w:rsid w:val="004844F5"/>
    <w:rsid w:val="0048590B"/>
    <w:rsid w:val="00487ED0"/>
    <w:rsid w:val="004918B2"/>
    <w:rsid w:val="004929A6"/>
    <w:rsid w:val="004A10E0"/>
    <w:rsid w:val="004A2964"/>
    <w:rsid w:val="004A4C68"/>
    <w:rsid w:val="004A669B"/>
    <w:rsid w:val="004A68CA"/>
    <w:rsid w:val="004B30F2"/>
    <w:rsid w:val="004C19E0"/>
    <w:rsid w:val="004C318C"/>
    <w:rsid w:val="004D1BB2"/>
    <w:rsid w:val="004D71C5"/>
    <w:rsid w:val="004D7AEC"/>
    <w:rsid w:val="004E0139"/>
    <w:rsid w:val="004E4528"/>
    <w:rsid w:val="004E57E3"/>
    <w:rsid w:val="004E5865"/>
    <w:rsid w:val="004E5D76"/>
    <w:rsid w:val="004E71ED"/>
    <w:rsid w:val="004F0AE3"/>
    <w:rsid w:val="00500783"/>
    <w:rsid w:val="00504328"/>
    <w:rsid w:val="00504E32"/>
    <w:rsid w:val="00506561"/>
    <w:rsid w:val="00507295"/>
    <w:rsid w:val="0051354F"/>
    <w:rsid w:val="00514F61"/>
    <w:rsid w:val="00515EAB"/>
    <w:rsid w:val="00520C56"/>
    <w:rsid w:val="005215E6"/>
    <w:rsid w:val="00530EDB"/>
    <w:rsid w:val="0053188D"/>
    <w:rsid w:val="0053198D"/>
    <w:rsid w:val="005350B0"/>
    <w:rsid w:val="00536872"/>
    <w:rsid w:val="005374B2"/>
    <w:rsid w:val="005378CB"/>
    <w:rsid w:val="00542845"/>
    <w:rsid w:val="00546384"/>
    <w:rsid w:val="0055087A"/>
    <w:rsid w:val="00552958"/>
    <w:rsid w:val="00554CB8"/>
    <w:rsid w:val="005550FD"/>
    <w:rsid w:val="00555274"/>
    <w:rsid w:val="005558FD"/>
    <w:rsid w:val="0055780A"/>
    <w:rsid w:val="00561ED2"/>
    <w:rsid w:val="00564CFE"/>
    <w:rsid w:val="0056500F"/>
    <w:rsid w:val="00566CDB"/>
    <w:rsid w:val="00574B0F"/>
    <w:rsid w:val="00577DCD"/>
    <w:rsid w:val="00584530"/>
    <w:rsid w:val="00585EBF"/>
    <w:rsid w:val="005867F5"/>
    <w:rsid w:val="00587F35"/>
    <w:rsid w:val="00592B86"/>
    <w:rsid w:val="00593A41"/>
    <w:rsid w:val="00594AB9"/>
    <w:rsid w:val="00595129"/>
    <w:rsid w:val="0059594C"/>
    <w:rsid w:val="00596704"/>
    <w:rsid w:val="005A04CD"/>
    <w:rsid w:val="005B15D6"/>
    <w:rsid w:val="005B345E"/>
    <w:rsid w:val="005C02E0"/>
    <w:rsid w:val="005C193B"/>
    <w:rsid w:val="005D09BD"/>
    <w:rsid w:val="005D116A"/>
    <w:rsid w:val="005D38A1"/>
    <w:rsid w:val="005D5590"/>
    <w:rsid w:val="005E12AA"/>
    <w:rsid w:val="005E2C06"/>
    <w:rsid w:val="005F2133"/>
    <w:rsid w:val="005F2488"/>
    <w:rsid w:val="005F387F"/>
    <w:rsid w:val="005F3FE4"/>
    <w:rsid w:val="00603310"/>
    <w:rsid w:val="0060463E"/>
    <w:rsid w:val="00605ECB"/>
    <w:rsid w:val="0061160C"/>
    <w:rsid w:val="00612DC4"/>
    <w:rsid w:val="00617A9D"/>
    <w:rsid w:val="00620456"/>
    <w:rsid w:val="00623B43"/>
    <w:rsid w:val="00624D56"/>
    <w:rsid w:val="00635605"/>
    <w:rsid w:val="0063579A"/>
    <w:rsid w:val="00636A55"/>
    <w:rsid w:val="00640C8C"/>
    <w:rsid w:val="0065212E"/>
    <w:rsid w:val="006533E1"/>
    <w:rsid w:val="0065545C"/>
    <w:rsid w:val="006557B6"/>
    <w:rsid w:val="00655FB5"/>
    <w:rsid w:val="00657F28"/>
    <w:rsid w:val="006628C5"/>
    <w:rsid w:val="00666691"/>
    <w:rsid w:val="0067720C"/>
    <w:rsid w:val="0068523F"/>
    <w:rsid w:val="00693C2C"/>
    <w:rsid w:val="0069409E"/>
    <w:rsid w:val="00694507"/>
    <w:rsid w:val="00695D2A"/>
    <w:rsid w:val="00696087"/>
    <w:rsid w:val="00696BB7"/>
    <w:rsid w:val="006A0E20"/>
    <w:rsid w:val="006A36F2"/>
    <w:rsid w:val="006B10D2"/>
    <w:rsid w:val="006B19EC"/>
    <w:rsid w:val="006B44CC"/>
    <w:rsid w:val="006B6B06"/>
    <w:rsid w:val="006C116C"/>
    <w:rsid w:val="006C2FB3"/>
    <w:rsid w:val="006C66A0"/>
    <w:rsid w:val="006D0E98"/>
    <w:rsid w:val="006D19BF"/>
    <w:rsid w:val="006D502B"/>
    <w:rsid w:val="006D7AE7"/>
    <w:rsid w:val="006D7B1D"/>
    <w:rsid w:val="006E2585"/>
    <w:rsid w:val="006E348C"/>
    <w:rsid w:val="006F3250"/>
    <w:rsid w:val="006F4565"/>
    <w:rsid w:val="00710DD4"/>
    <w:rsid w:val="00710FF4"/>
    <w:rsid w:val="0071410C"/>
    <w:rsid w:val="00716C17"/>
    <w:rsid w:val="00723112"/>
    <w:rsid w:val="007267E2"/>
    <w:rsid w:val="007305B1"/>
    <w:rsid w:val="00730AC0"/>
    <w:rsid w:val="0073181F"/>
    <w:rsid w:val="0073307A"/>
    <w:rsid w:val="00733E85"/>
    <w:rsid w:val="00735A27"/>
    <w:rsid w:val="00735CA0"/>
    <w:rsid w:val="007360C4"/>
    <w:rsid w:val="00741C1C"/>
    <w:rsid w:val="007428DA"/>
    <w:rsid w:val="00742E21"/>
    <w:rsid w:val="00745A36"/>
    <w:rsid w:val="00750378"/>
    <w:rsid w:val="007507A9"/>
    <w:rsid w:val="00754A6F"/>
    <w:rsid w:val="00756714"/>
    <w:rsid w:val="00757184"/>
    <w:rsid w:val="00757A0B"/>
    <w:rsid w:val="00760557"/>
    <w:rsid w:val="00761074"/>
    <w:rsid w:val="00762AA8"/>
    <w:rsid w:val="0076438B"/>
    <w:rsid w:val="00764974"/>
    <w:rsid w:val="007676BA"/>
    <w:rsid w:val="00767DA5"/>
    <w:rsid w:val="00772669"/>
    <w:rsid w:val="007734EE"/>
    <w:rsid w:val="007823E4"/>
    <w:rsid w:val="00783CCD"/>
    <w:rsid w:val="00786F27"/>
    <w:rsid w:val="00790236"/>
    <w:rsid w:val="00793222"/>
    <w:rsid w:val="007965EA"/>
    <w:rsid w:val="007A19A6"/>
    <w:rsid w:val="007A33DA"/>
    <w:rsid w:val="007A5172"/>
    <w:rsid w:val="007B1824"/>
    <w:rsid w:val="007B306C"/>
    <w:rsid w:val="007B45D4"/>
    <w:rsid w:val="007C04F3"/>
    <w:rsid w:val="007C0750"/>
    <w:rsid w:val="007C0A3C"/>
    <w:rsid w:val="007C142A"/>
    <w:rsid w:val="007C23D7"/>
    <w:rsid w:val="007C2773"/>
    <w:rsid w:val="007C2C0D"/>
    <w:rsid w:val="007C7ED3"/>
    <w:rsid w:val="007D3281"/>
    <w:rsid w:val="007D4398"/>
    <w:rsid w:val="007D6AAF"/>
    <w:rsid w:val="007E3F40"/>
    <w:rsid w:val="007E4120"/>
    <w:rsid w:val="007E4804"/>
    <w:rsid w:val="007E5650"/>
    <w:rsid w:val="007F08DF"/>
    <w:rsid w:val="008030E8"/>
    <w:rsid w:val="00806C18"/>
    <w:rsid w:val="008100AA"/>
    <w:rsid w:val="00810B0D"/>
    <w:rsid w:val="0081355F"/>
    <w:rsid w:val="00815D06"/>
    <w:rsid w:val="008163FE"/>
    <w:rsid w:val="0081739F"/>
    <w:rsid w:val="008205B8"/>
    <w:rsid w:val="0082136E"/>
    <w:rsid w:val="008245FA"/>
    <w:rsid w:val="0082621F"/>
    <w:rsid w:val="0083218E"/>
    <w:rsid w:val="00835918"/>
    <w:rsid w:val="0084359B"/>
    <w:rsid w:val="00843764"/>
    <w:rsid w:val="00843CAE"/>
    <w:rsid w:val="00845BAB"/>
    <w:rsid w:val="00850289"/>
    <w:rsid w:val="008505B1"/>
    <w:rsid w:val="00850950"/>
    <w:rsid w:val="008528E1"/>
    <w:rsid w:val="00852C1F"/>
    <w:rsid w:val="00855A94"/>
    <w:rsid w:val="00856B81"/>
    <w:rsid w:val="00856FC7"/>
    <w:rsid w:val="00867342"/>
    <w:rsid w:val="008701B0"/>
    <w:rsid w:val="008704CC"/>
    <w:rsid w:val="00876A61"/>
    <w:rsid w:val="008771EF"/>
    <w:rsid w:val="00877BE0"/>
    <w:rsid w:val="00883B4D"/>
    <w:rsid w:val="00890599"/>
    <w:rsid w:val="00890F67"/>
    <w:rsid w:val="00893727"/>
    <w:rsid w:val="0089657C"/>
    <w:rsid w:val="00896FB8"/>
    <w:rsid w:val="008A21EF"/>
    <w:rsid w:val="008A38FA"/>
    <w:rsid w:val="008A40D4"/>
    <w:rsid w:val="008A6271"/>
    <w:rsid w:val="008A6853"/>
    <w:rsid w:val="008B555E"/>
    <w:rsid w:val="008B6066"/>
    <w:rsid w:val="008B7E37"/>
    <w:rsid w:val="008C055C"/>
    <w:rsid w:val="008C153E"/>
    <w:rsid w:val="008C4227"/>
    <w:rsid w:val="008C462F"/>
    <w:rsid w:val="008D1D72"/>
    <w:rsid w:val="008D2764"/>
    <w:rsid w:val="008D2BAE"/>
    <w:rsid w:val="008D5868"/>
    <w:rsid w:val="008D5C9D"/>
    <w:rsid w:val="008D705D"/>
    <w:rsid w:val="008E2710"/>
    <w:rsid w:val="008E5920"/>
    <w:rsid w:val="008F0BB9"/>
    <w:rsid w:val="008F6A3B"/>
    <w:rsid w:val="0090238F"/>
    <w:rsid w:val="00903912"/>
    <w:rsid w:val="0090767B"/>
    <w:rsid w:val="009126EF"/>
    <w:rsid w:val="009127B7"/>
    <w:rsid w:val="009128FB"/>
    <w:rsid w:val="0091331A"/>
    <w:rsid w:val="00913815"/>
    <w:rsid w:val="0091715C"/>
    <w:rsid w:val="00920A69"/>
    <w:rsid w:val="00921B27"/>
    <w:rsid w:val="009220F9"/>
    <w:rsid w:val="00924686"/>
    <w:rsid w:val="009300AB"/>
    <w:rsid w:val="00935162"/>
    <w:rsid w:val="00936309"/>
    <w:rsid w:val="00940B87"/>
    <w:rsid w:val="00941A41"/>
    <w:rsid w:val="009424AB"/>
    <w:rsid w:val="00943431"/>
    <w:rsid w:val="009464F4"/>
    <w:rsid w:val="009474B5"/>
    <w:rsid w:val="00950A85"/>
    <w:rsid w:val="009567BD"/>
    <w:rsid w:val="00960022"/>
    <w:rsid w:val="009605E2"/>
    <w:rsid w:val="00960F0B"/>
    <w:rsid w:val="00961DF2"/>
    <w:rsid w:val="009658CB"/>
    <w:rsid w:val="00966C4C"/>
    <w:rsid w:val="009708CF"/>
    <w:rsid w:val="00975DA7"/>
    <w:rsid w:val="00976FC1"/>
    <w:rsid w:val="009778C0"/>
    <w:rsid w:val="0098456B"/>
    <w:rsid w:val="00986F51"/>
    <w:rsid w:val="00987724"/>
    <w:rsid w:val="0099085F"/>
    <w:rsid w:val="009A0EE1"/>
    <w:rsid w:val="009A22CE"/>
    <w:rsid w:val="009A5A3D"/>
    <w:rsid w:val="009B20C2"/>
    <w:rsid w:val="009B2297"/>
    <w:rsid w:val="009B32D4"/>
    <w:rsid w:val="009B4D2F"/>
    <w:rsid w:val="009B522D"/>
    <w:rsid w:val="009D0BB3"/>
    <w:rsid w:val="009E0DDB"/>
    <w:rsid w:val="009F0885"/>
    <w:rsid w:val="009F1068"/>
    <w:rsid w:val="009F2635"/>
    <w:rsid w:val="00A00E4B"/>
    <w:rsid w:val="00A01525"/>
    <w:rsid w:val="00A01762"/>
    <w:rsid w:val="00A0211E"/>
    <w:rsid w:val="00A029D7"/>
    <w:rsid w:val="00A03AEB"/>
    <w:rsid w:val="00A04C47"/>
    <w:rsid w:val="00A06F10"/>
    <w:rsid w:val="00A07966"/>
    <w:rsid w:val="00A1447F"/>
    <w:rsid w:val="00A158DC"/>
    <w:rsid w:val="00A170BE"/>
    <w:rsid w:val="00A21A0B"/>
    <w:rsid w:val="00A2472A"/>
    <w:rsid w:val="00A277DD"/>
    <w:rsid w:val="00A32C03"/>
    <w:rsid w:val="00A334E7"/>
    <w:rsid w:val="00A33D2B"/>
    <w:rsid w:val="00A34470"/>
    <w:rsid w:val="00A43182"/>
    <w:rsid w:val="00A46822"/>
    <w:rsid w:val="00A47396"/>
    <w:rsid w:val="00A479AA"/>
    <w:rsid w:val="00A50FFB"/>
    <w:rsid w:val="00A611B6"/>
    <w:rsid w:val="00A61DCC"/>
    <w:rsid w:val="00A62FD8"/>
    <w:rsid w:val="00A64803"/>
    <w:rsid w:val="00A6686C"/>
    <w:rsid w:val="00A7179A"/>
    <w:rsid w:val="00A7195B"/>
    <w:rsid w:val="00A75258"/>
    <w:rsid w:val="00A8042D"/>
    <w:rsid w:val="00A819DA"/>
    <w:rsid w:val="00A84DA8"/>
    <w:rsid w:val="00A8752B"/>
    <w:rsid w:val="00A90C6E"/>
    <w:rsid w:val="00A91893"/>
    <w:rsid w:val="00A91F7A"/>
    <w:rsid w:val="00A9424D"/>
    <w:rsid w:val="00AA1BAD"/>
    <w:rsid w:val="00AA2093"/>
    <w:rsid w:val="00AA6B2F"/>
    <w:rsid w:val="00AB2B86"/>
    <w:rsid w:val="00AB7DD5"/>
    <w:rsid w:val="00AC2414"/>
    <w:rsid w:val="00AC2C67"/>
    <w:rsid w:val="00AC56EE"/>
    <w:rsid w:val="00AC79EC"/>
    <w:rsid w:val="00AD20D9"/>
    <w:rsid w:val="00AD559A"/>
    <w:rsid w:val="00AD7787"/>
    <w:rsid w:val="00AD7ACF"/>
    <w:rsid w:val="00AE070B"/>
    <w:rsid w:val="00AE34F6"/>
    <w:rsid w:val="00AE5673"/>
    <w:rsid w:val="00AE5DF8"/>
    <w:rsid w:val="00AF018D"/>
    <w:rsid w:val="00AF3470"/>
    <w:rsid w:val="00B03525"/>
    <w:rsid w:val="00B06F47"/>
    <w:rsid w:val="00B17035"/>
    <w:rsid w:val="00B17DB2"/>
    <w:rsid w:val="00B20556"/>
    <w:rsid w:val="00B230B1"/>
    <w:rsid w:val="00B25DAD"/>
    <w:rsid w:val="00B270E9"/>
    <w:rsid w:val="00B30541"/>
    <w:rsid w:val="00B338EB"/>
    <w:rsid w:val="00B36BD3"/>
    <w:rsid w:val="00B45EE9"/>
    <w:rsid w:val="00B463C9"/>
    <w:rsid w:val="00B46651"/>
    <w:rsid w:val="00B53EE8"/>
    <w:rsid w:val="00B550C3"/>
    <w:rsid w:val="00B553A5"/>
    <w:rsid w:val="00B56288"/>
    <w:rsid w:val="00B56FA6"/>
    <w:rsid w:val="00B57141"/>
    <w:rsid w:val="00B627BD"/>
    <w:rsid w:val="00B64424"/>
    <w:rsid w:val="00B72376"/>
    <w:rsid w:val="00B76583"/>
    <w:rsid w:val="00B806F5"/>
    <w:rsid w:val="00B813FF"/>
    <w:rsid w:val="00B817E4"/>
    <w:rsid w:val="00B820CB"/>
    <w:rsid w:val="00B834B1"/>
    <w:rsid w:val="00B84FE2"/>
    <w:rsid w:val="00B8779F"/>
    <w:rsid w:val="00B91733"/>
    <w:rsid w:val="00B91D91"/>
    <w:rsid w:val="00B96044"/>
    <w:rsid w:val="00BA00E9"/>
    <w:rsid w:val="00BA2EE4"/>
    <w:rsid w:val="00BA4A35"/>
    <w:rsid w:val="00BA4A89"/>
    <w:rsid w:val="00BA7D4B"/>
    <w:rsid w:val="00BB063A"/>
    <w:rsid w:val="00BB10F2"/>
    <w:rsid w:val="00BB2C8E"/>
    <w:rsid w:val="00BB3270"/>
    <w:rsid w:val="00BB3CA0"/>
    <w:rsid w:val="00BB687A"/>
    <w:rsid w:val="00BB6D3D"/>
    <w:rsid w:val="00BC3CB4"/>
    <w:rsid w:val="00BC4314"/>
    <w:rsid w:val="00BD3790"/>
    <w:rsid w:val="00BD697B"/>
    <w:rsid w:val="00BD79DB"/>
    <w:rsid w:val="00BD7DDD"/>
    <w:rsid w:val="00BE034E"/>
    <w:rsid w:val="00BE29BD"/>
    <w:rsid w:val="00BE4286"/>
    <w:rsid w:val="00BE5592"/>
    <w:rsid w:val="00BF0174"/>
    <w:rsid w:val="00BF25B6"/>
    <w:rsid w:val="00C00DD4"/>
    <w:rsid w:val="00C010AD"/>
    <w:rsid w:val="00C04094"/>
    <w:rsid w:val="00C040CC"/>
    <w:rsid w:val="00C06841"/>
    <w:rsid w:val="00C07364"/>
    <w:rsid w:val="00C07800"/>
    <w:rsid w:val="00C13FD0"/>
    <w:rsid w:val="00C15707"/>
    <w:rsid w:val="00C15E02"/>
    <w:rsid w:val="00C163CA"/>
    <w:rsid w:val="00C17B7A"/>
    <w:rsid w:val="00C208B4"/>
    <w:rsid w:val="00C2162F"/>
    <w:rsid w:val="00C21861"/>
    <w:rsid w:val="00C22096"/>
    <w:rsid w:val="00C31227"/>
    <w:rsid w:val="00C32531"/>
    <w:rsid w:val="00C52502"/>
    <w:rsid w:val="00C5480B"/>
    <w:rsid w:val="00C5543E"/>
    <w:rsid w:val="00C56ED6"/>
    <w:rsid w:val="00C5739F"/>
    <w:rsid w:val="00C6036A"/>
    <w:rsid w:val="00C623D5"/>
    <w:rsid w:val="00C656C5"/>
    <w:rsid w:val="00C7008D"/>
    <w:rsid w:val="00C77CC1"/>
    <w:rsid w:val="00C8023E"/>
    <w:rsid w:val="00C806D3"/>
    <w:rsid w:val="00C830C3"/>
    <w:rsid w:val="00C847C5"/>
    <w:rsid w:val="00C86786"/>
    <w:rsid w:val="00C87286"/>
    <w:rsid w:val="00C87464"/>
    <w:rsid w:val="00C906BB"/>
    <w:rsid w:val="00C94255"/>
    <w:rsid w:val="00C95A3A"/>
    <w:rsid w:val="00CA0113"/>
    <w:rsid w:val="00CA5EB2"/>
    <w:rsid w:val="00CB33B1"/>
    <w:rsid w:val="00CB4EAB"/>
    <w:rsid w:val="00CB5850"/>
    <w:rsid w:val="00CB634F"/>
    <w:rsid w:val="00CB7BAE"/>
    <w:rsid w:val="00CC081C"/>
    <w:rsid w:val="00CC4535"/>
    <w:rsid w:val="00CC5837"/>
    <w:rsid w:val="00CC6629"/>
    <w:rsid w:val="00CD0875"/>
    <w:rsid w:val="00CD0D91"/>
    <w:rsid w:val="00CD1E09"/>
    <w:rsid w:val="00CD20FB"/>
    <w:rsid w:val="00CD3EAB"/>
    <w:rsid w:val="00CD3F84"/>
    <w:rsid w:val="00CD4F02"/>
    <w:rsid w:val="00CD6DD0"/>
    <w:rsid w:val="00CE03E6"/>
    <w:rsid w:val="00CE1133"/>
    <w:rsid w:val="00CE23B6"/>
    <w:rsid w:val="00CE6385"/>
    <w:rsid w:val="00CF184A"/>
    <w:rsid w:val="00CF3D1B"/>
    <w:rsid w:val="00CF493C"/>
    <w:rsid w:val="00CF5767"/>
    <w:rsid w:val="00CF607E"/>
    <w:rsid w:val="00CF62A5"/>
    <w:rsid w:val="00D003A6"/>
    <w:rsid w:val="00D005F9"/>
    <w:rsid w:val="00D02B46"/>
    <w:rsid w:val="00D02F94"/>
    <w:rsid w:val="00D03A1D"/>
    <w:rsid w:val="00D046D2"/>
    <w:rsid w:val="00D05F25"/>
    <w:rsid w:val="00D077E5"/>
    <w:rsid w:val="00D100F5"/>
    <w:rsid w:val="00D13ADA"/>
    <w:rsid w:val="00D16CE8"/>
    <w:rsid w:val="00D21991"/>
    <w:rsid w:val="00D2415D"/>
    <w:rsid w:val="00D32A24"/>
    <w:rsid w:val="00D33071"/>
    <w:rsid w:val="00D35061"/>
    <w:rsid w:val="00D35900"/>
    <w:rsid w:val="00D40A05"/>
    <w:rsid w:val="00D50DD7"/>
    <w:rsid w:val="00D51137"/>
    <w:rsid w:val="00D530DD"/>
    <w:rsid w:val="00D60CDA"/>
    <w:rsid w:val="00D63DD6"/>
    <w:rsid w:val="00D64B1E"/>
    <w:rsid w:val="00D67AD4"/>
    <w:rsid w:val="00D73E3A"/>
    <w:rsid w:val="00D7531B"/>
    <w:rsid w:val="00D75599"/>
    <w:rsid w:val="00D75D24"/>
    <w:rsid w:val="00D767CD"/>
    <w:rsid w:val="00D777E0"/>
    <w:rsid w:val="00D807B1"/>
    <w:rsid w:val="00D824C6"/>
    <w:rsid w:val="00D82B2F"/>
    <w:rsid w:val="00D83361"/>
    <w:rsid w:val="00D835A6"/>
    <w:rsid w:val="00D8509E"/>
    <w:rsid w:val="00D862DE"/>
    <w:rsid w:val="00D8656C"/>
    <w:rsid w:val="00D87CF4"/>
    <w:rsid w:val="00D90988"/>
    <w:rsid w:val="00D9355F"/>
    <w:rsid w:val="00DA14E3"/>
    <w:rsid w:val="00DA1DDA"/>
    <w:rsid w:val="00DA63C9"/>
    <w:rsid w:val="00DB4B48"/>
    <w:rsid w:val="00DB54CA"/>
    <w:rsid w:val="00DB565C"/>
    <w:rsid w:val="00DB5835"/>
    <w:rsid w:val="00DB5CA1"/>
    <w:rsid w:val="00DB5E3C"/>
    <w:rsid w:val="00DC3DDE"/>
    <w:rsid w:val="00DC5A16"/>
    <w:rsid w:val="00DD5471"/>
    <w:rsid w:val="00DD54A0"/>
    <w:rsid w:val="00DD64E8"/>
    <w:rsid w:val="00DE0B4D"/>
    <w:rsid w:val="00DE0DB9"/>
    <w:rsid w:val="00DE4751"/>
    <w:rsid w:val="00DE5D67"/>
    <w:rsid w:val="00DE76C3"/>
    <w:rsid w:val="00DF1070"/>
    <w:rsid w:val="00DF190B"/>
    <w:rsid w:val="00DF23C9"/>
    <w:rsid w:val="00DF2B10"/>
    <w:rsid w:val="00DF6C29"/>
    <w:rsid w:val="00DF7063"/>
    <w:rsid w:val="00DF721E"/>
    <w:rsid w:val="00E01031"/>
    <w:rsid w:val="00E01215"/>
    <w:rsid w:val="00E01E67"/>
    <w:rsid w:val="00E132BD"/>
    <w:rsid w:val="00E154B1"/>
    <w:rsid w:val="00E16180"/>
    <w:rsid w:val="00E21153"/>
    <w:rsid w:val="00E22D27"/>
    <w:rsid w:val="00E24693"/>
    <w:rsid w:val="00E25A8A"/>
    <w:rsid w:val="00E26D13"/>
    <w:rsid w:val="00E321BE"/>
    <w:rsid w:val="00E324BC"/>
    <w:rsid w:val="00E34461"/>
    <w:rsid w:val="00E34F8C"/>
    <w:rsid w:val="00E37277"/>
    <w:rsid w:val="00E374D8"/>
    <w:rsid w:val="00E45201"/>
    <w:rsid w:val="00E45824"/>
    <w:rsid w:val="00E45B2C"/>
    <w:rsid w:val="00E4785D"/>
    <w:rsid w:val="00E5029C"/>
    <w:rsid w:val="00E53AC9"/>
    <w:rsid w:val="00E61690"/>
    <w:rsid w:val="00E62239"/>
    <w:rsid w:val="00E6240B"/>
    <w:rsid w:val="00E65173"/>
    <w:rsid w:val="00E65C72"/>
    <w:rsid w:val="00E71B88"/>
    <w:rsid w:val="00E71F40"/>
    <w:rsid w:val="00E72207"/>
    <w:rsid w:val="00E73DD4"/>
    <w:rsid w:val="00E75575"/>
    <w:rsid w:val="00E80F81"/>
    <w:rsid w:val="00E82764"/>
    <w:rsid w:val="00E83007"/>
    <w:rsid w:val="00E92C88"/>
    <w:rsid w:val="00E94503"/>
    <w:rsid w:val="00E94961"/>
    <w:rsid w:val="00E95DF4"/>
    <w:rsid w:val="00E96352"/>
    <w:rsid w:val="00E96E1E"/>
    <w:rsid w:val="00EA2A88"/>
    <w:rsid w:val="00EA3D3F"/>
    <w:rsid w:val="00EA6018"/>
    <w:rsid w:val="00EB1717"/>
    <w:rsid w:val="00EB231C"/>
    <w:rsid w:val="00EB23D6"/>
    <w:rsid w:val="00EB7154"/>
    <w:rsid w:val="00EB78B1"/>
    <w:rsid w:val="00EC384C"/>
    <w:rsid w:val="00EC46E3"/>
    <w:rsid w:val="00EC6AE2"/>
    <w:rsid w:val="00EC6F29"/>
    <w:rsid w:val="00ED1B40"/>
    <w:rsid w:val="00ED33FC"/>
    <w:rsid w:val="00EE1996"/>
    <w:rsid w:val="00EE375D"/>
    <w:rsid w:val="00EE4961"/>
    <w:rsid w:val="00EF7A15"/>
    <w:rsid w:val="00F01823"/>
    <w:rsid w:val="00F01C2A"/>
    <w:rsid w:val="00F0389A"/>
    <w:rsid w:val="00F05FEB"/>
    <w:rsid w:val="00F1190D"/>
    <w:rsid w:val="00F13679"/>
    <w:rsid w:val="00F1421C"/>
    <w:rsid w:val="00F144CE"/>
    <w:rsid w:val="00F1716F"/>
    <w:rsid w:val="00F230CA"/>
    <w:rsid w:val="00F235E1"/>
    <w:rsid w:val="00F23F14"/>
    <w:rsid w:val="00F26F9E"/>
    <w:rsid w:val="00F27F30"/>
    <w:rsid w:val="00F326F6"/>
    <w:rsid w:val="00F35447"/>
    <w:rsid w:val="00F41B14"/>
    <w:rsid w:val="00F42B67"/>
    <w:rsid w:val="00F44979"/>
    <w:rsid w:val="00F4555E"/>
    <w:rsid w:val="00F505B4"/>
    <w:rsid w:val="00F5571F"/>
    <w:rsid w:val="00F56233"/>
    <w:rsid w:val="00F61613"/>
    <w:rsid w:val="00F65A6B"/>
    <w:rsid w:val="00F65DAD"/>
    <w:rsid w:val="00F71782"/>
    <w:rsid w:val="00F722AA"/>
    <w:rsid w:val="00F74A90"/>
    <w:rsid w:val="00F74ADD"/>
    <w:rsid w:val="00F74D30"/>
    <w:rsid w:val="00F76007"/>
    <w:rsid w:val="00F76352"/>
    <w:rsid w:val="00F764B0"/>
    <w:rsid w:val="00F768AF"/>
    <w:rsid w:val="00F8283F"/>
    <w:rsid w:val="00F851E7"/>
    <w:rsid w:val="00F85425"/>
    <w:rsid w:val="00F878BE"/>
    <w:rsid w:val="00F94C6E"/>
    <w:rsid w:val="00F94C83"/>
    <w:rsid w:val="00F967D9"/>
    <w:rsid w:val="00FA4A05"/>
    <w:rsid w:val="00FB0B68"/>
    <w:rsid w:val="00FB152F"/>
    <w:rsid w:val="00FB20FA"/>
    <w:rsid w:val="00FB273D"/>
    <w:rsid w:val="00FB38A8"/>
    <w:rsid w:val="00FB4616"/>
    <w:rsid w:val="00FB4C99"/>
    <w:rsid w:val="00FB7AE4"/>
    <w:rsid w:val="00FC0EE8"/>
    <w:rsid w:val="00FC1D12"/>
    <w:rsid w:val="00FC1DBB"/>
    <w:rsid w:val="00FC2B46"/>
    <w:rsid w:val="00FC4CBD"/>
    <w:rsid w:val="00FD2B60"/>
    <w:rsid w:val="00FD2C85"/>
    <w:rsid w:val="00FD7F84"/>
    <w:rsid w:val="00FD7F90"/>
    <w:rsid w:val="00FE3B17"/>
    <w:rsid w:val="00FE426A"/>
    <w:rsid w:val="00FE4A49"/>
    <w:rsid w:val="00FF0C06"/>
    <w:rsid w:val="00FF1B05"/>
    <w:rsid w:val="00FF254B"/>
    <w:rsid w:val="00FF4DDD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uiPriority="20" w:qFormat="1"/>
    <w:lsdException w:name="Plain Text" w:uiPriority="99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679"/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3679"/>
    <w:pPr>
      <w:tabs>
        <w:tab w:val="center" w:pos="4153"/>
        <w:tab w:val="right" w:pos="8306"/>
      </w:tabs>
      <w:snapToGrid w:val="0"/>
      <w:spacing w:after="200"/>
    </w:pPr>
    <w:rPr>
      <w:rFonts w:ascii="Cambria" w:hAnsi="Cambria"/>
      <w:sz w:val="20"/>
      <w:szCs w:val="20"/>
      <w:lang w:val="x-none"/>
    </w:rPr>
  </w:style>
  <w:style w:type="character" w:customStyle="1" w:styleId="a4">
    <w:name w:val="頁首 字元"/>
    <w:link w:val="a3"/>
    <w:locked/>
    <w:rsid w:val="00F13679"/>
    <w:rPr>
      <w:rFonts w:cs="Times New Roman"/>
      <w:lang w:val="x-none" w:eastAsia="en-US"/>
    </w:rPr>
  </w:style>
  <w:style w:type="paragraph" w:styleId="a5">
    <w:name w:val="footer"/>
    <w:basedOn w:val="a"/>
    <w:link w:val="a6"/>
    <w:uiPriority w:val="99"/>
    <w:rsid w:val="00F13679"/>
    <w:pPr>
      <w:tabs>
        <w:tab w:val="center" w:pos="4153"/>
        <w:tab w:val="right" w:pos="8306"/>
      </w:tabs>
      <w:snapToGrid w:val="0"/>
      <w:spacing w:after="200"/>
    </w:pPr>
    <w:rPr>
      <w:rFonts w:ascii="Cambria" w:hAnsi="Cambria"/>
      <w:sz w:val="20"/>
      <w:szCs w:val="20"/>
      <w:lang w:val="x-none"/>
    </w:rPr>
  </w:style>
  <w:style w:type="character" w:customStyle="1" w:styleId="a6">
    <w:name w:val="頁尾 字元"/>
    <w:link w:val="a5"/>
    <w:uiPriority w:val="99"/>
    <w:locked/>
    <w:rsid w:val="00F13679"/>
    <w:rPr>
      <w:rFonts w:cs="Times New Roman"/>
      <w:lang w:val="x-none" w:eastAsia="en-US"/>
    </w:rPr>
  </w:style>
  <w:style w:type="paragraph" w:styleId="a7">
    <w:name w:val="Balloon Text"/>
    <w:basedOn w:val="a"/>
    <w:link w:val="a8"/>
    <w:semiHidden/>
    <w:rsid w:val="00F13679"/>
    <w:rPr>
      <w:rFonts w:ascii="Cambria" w:hAnsi="Cambria"/>
      <w:sz w:val="18"/>
      <w:szCs w:val="18"/>
      <w:lang w:val="x-none"/>
    </w:rPr>
  </w:style>
  <w:style w:type="character" w:customStyle="1" w:styleId="a8">
    <w:name w:val="註解方塊文字 字元"/>
    <w:link w:val="a7"/>
    <w:semiHidden/>
    <w:locked/>
    <w:rsid w:val="00F13679"/>
    <w:rPr>
      <w:rFonts w:ascii="Cambria" w:eastAsia="新細明體" w:hAnsi="Cambria" w:cs="Times New Roman"/>
      <w:sz w:val="18"/>
      <w:szCs w:val="18"/>
      <w:lang w:val="x-none" w:eastAsia="en-US"/>
    </w:rPr>
  </w:style>
  <w:style w:type="paragraph" w:customStyle="1" w:styleId="FreeForm">
    <w:name w:val="Free Form"/>
    <w:autoRedefine/>
    <w:rsid w:val="00FB0B68"/>
    <w:rPr>
      <w:rFonts w:ascii="Arial" w:eastAsia="Times New Roman" w:hAnsi="Arial" w:cs="Arial"/>
      <w:color w:val="000000"/>
      <w:sz w:val="24"/>
      <w:szCs w:val="24"/>
    </w:rPr>
  </w:style>
  <w:style w:type="character" w:styleId="a9">
    <w:name w:val="Hyperlink"/>
    <w:rsid w:val="00C15E02"/>
    <w:rPr>
      <w:color w:val="0000FF"/>
      <w:u w:val="single"/>
    </w:rPr>
  </w:style>
  <w:style w:type="character" w:styleId="aa">
    <w:name w:val="page number"/>
    <w:basedOn w:val="a0"/>
    <w:rsid w:val="00E37277"/>
  </w:style>
  <w:style w:type="paragraph" w:styleId="ab">
    <w:name w:val="Date"/>
    <w:basedOn w:val="a"/>
    <w:next w:val="a"/>
    <w:rsid w:val="004F0AE3"/>
    <w:pPr>
      <w:widowControl w:val="0"/>
      <w:jc w:val="right"/>
    </w:pPr>
    <w:rPr>
      <w:rFonts w:ascii="Arial" w:eastAsia="標楷體" w:hAnsi="Arial" w:cs="Arial"/>
      <w:color w:val="000000"/>
      <w:kern w:val="2"/>
      <w:lang w:eastAsia="zh-TW"/>
    </w:rPr>
  </w:style>
  <w:style w:type="character" w:customStyle="1" w:styleId="ac">
    <w:name w:val="摘要內文"/>
    <w:rsid w:val="007C0750"/>
    <w:rPr>
      <w:rFonts w:cs="Times New Roman"/>
      <w:sz w:val="20"/>
    </w:rPr>
  </w:style>
  <w:style w:type="character" w:customStyle="1" w:styleId="ad">
    <w:name w:val="a"/>
    <w:basedOn w:val="a0"/>
    <w:rsid w:val="002C05F3"/>
  </w:style>
  <w:style w:type="paragraph" w:customStyle="1" w:styleId="Text">
    <w:name w:val="Text"/>
    <w:basedOn w:val="a"/>
    <w:rsid w:val="00D35900"/>
    <w:pPr>
      <w:spacing w:after="200"/>
    </w:pPr>
    <w:rPr>
      <w:rFonts w:ascii="Arial" w:hAnsi="Arial" w:cs="Arial"/>
      <w:sz w:val="20"/>
      <w:szCs w:val="20"/>
      <w:lang w:val="de-DE"/>
    </w:rPr>
  </w:style>
  <w:style w:type="character" w:styleId="ae">
    <w:name w:val="Strong"/>
    <w:basedOn w:val="a0"/>
    <w:uiPriority w:val="22"/>
    <w:qFormat/>
    <w:locked/>
    <w:rsid w:val="00960F0B"/>
    <w:rPr>
      <w:b/>
      <w:bCs/>
    </w:rPr>
  </w:style>
  <w:style w:type="paragraph" w:customStyle="1" w:styleId="unterberschrift">
    <w:name w:val="unterberschrift"/>
    <w:basedOn w:val="a"/>
    <w:rsid w:val="00960F0B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character" w:styleId="af">
    <w:name w:val="Emphasis"/>
    <w:basedOn w:val="a0"/>
    <w:uiPriority w:val="20"/>
    <w:qFormat/>
    <w:locked/>
    <w:rsid w:val="007428DA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7428DA"/>
  </w:style>
  <w:style w:type="paragraph" w:styleId="af0">
    <w:name w:val="List Paragraph"/>
    <w:basedOn w:val="a"/>
    <w:uiPriority w:val="34"/>
    <w:qFormat/>
    <w:rsid w:val="008245FA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  <w:lang w:eastAsia="zh-TW"/>
    </w:rPr>
  </w:style>
  <w:style w:type="paragraph" w:customStyle="1" w:styleId="yiv2182289416msonormal">
    <w:name w:val="yiv2182289416msonormal"/>
    <w:basedOn w:val="a"/>
    <w:rsid w:val="008245FA"/>
    <w:pPr>
      <w:spacing w:before="100" w:beforeAutospacing="1" w:after="100" w:afterAutospacing="1"/>
    </w:pPr>
    <w:rPr>
      <w:rFonts w:eastAsia="SimSun"/>
      <w:lang w:eastAsia="zh-CN"/>
    </w:rPr>
  </w:style>
  <w:style w:type="character" w:styleId="af1">
    <w:name w:val="annotation reference"/>
    <w:basedOn w:val="a0"/>
    <w:rsid w:val="00F65DAD"/>
    <w:rPr>
      <w:sz w:val="18"/>
      <w:szCs w:val="18"/>
    </w:rPr>
  </w:style>
  <w:style w:type="paragraph" w:styleId="af2">
    <w:name w:val="annotation text"/>
    <w:basedOn w:val="a"/>
    <w:link w:val="af3"/>
    <w:rsid w:val="00F65DAD"/>
  </w:style>
  <w:style w:type="character" w:customStyle="1" w:styleId="af3">
    <w:name w:val="註解文字 字元"/>
    <w:basedOn w:val="a0"/>
    <w:link w:val="af2"/>
    <w:rsid w:val="00F65DAD"/>
    <w:rPr>
      <w:rFonts w:ascii="Times New Roman" w:hAnsi="Times New Roman"/>
      <w:sz w:val="24"/>
      <w:szCs w:val="24"/>
      <w:lang w:eastAsia="en-US"/>
    </w:rPr>
  </w:style>
  <w:style w:type="paragraph" w:styleId="af4">
    <w:name w:val="annotation subject"/>
    <w:basedOn w:val="af2"/>
    <w:next w:val="af2"/>
    <w:link w:val="af5"/>
    <w:rsid w:val="00F65DAD"/>
    <w:rPr>
      <w:b/>
      <w:bCs/>
    </w:rPr>
  </w:style>
  <w:style w:type="character" w:customStyle="1" w:styleId="af5">
    <w:name w:val="註解主旨 字元"/>
    <w:basedOn w:val="af3"/>
    <w:link w:val="af4"/>
    <w:rsid w:val="00F65DAD"/>
    <w:rPr>
      <w:rFonts w:ascii="Times New Roman" w:hAnsi="Times New Roman"/>
      <w:b/>
      <w:bCs/>
      <w:sz w:val="24"/>
      <w:szCs w:val="24"/>
      <w:lang w:eastAsia="en-US"/>
    </w:rPr>
  </w:style>
  <w:style w:type="paragraph" w:styleId="Web">
    <w:name w:val="Normal (Web)"/>
    <w:basedOn w:val="a"/>
    <w:uiPriority w:val="99"/>
    <w:unhideWhenUsed/>
    <w:rsid w:val="001E67D0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paragraph" w:styleId="af6">
    <w:name w:val="Plain Text"/>
    <w:basedOn w:val="a"/>
    <w:link w:val="af7"/>
    <w:uiPriority w:val="99"/>
    <w:unhideWhenUsed/>
    <w:rsid w:val="00CE6385"/>
    <w:pPr>
      <w:widowControl w:val="0"/>
    </w:pPr>
    <w:rPr>
      <w:rFonts w:ascii="Calibri" w:hAnsi="Courier New" w:cs="Courier New"/>
      <w:kern w:val="2"/>
      <w:lang w:eastAsia="zh-TW"/>
    </w:rPr>
  </w:style>
  <w:style w:type="character" w:customStyle="1" w:styleId="af7">
    <w:name w:val="純文字 字元"/>
    <w:basedOn w:val="a0"/>
    <w:link w:val="af6"/>
    <w:uiPriority w:val="99"/>
    <w:rsid w:val="00CE6385"/>
    <w:rPr>
      <w:rFonts w:ascii="Calibri" w:hAnsi="Courier New" w:cs="Courier New"/>
      <w:kern w:val="2"/>
      <w:sz w:val="24"/>
      <w:szCs w:val="24"/>
    </w:rPr>
  </w:style>
  <w:style w:type="paragraph" w:styleId="af8">
    <w:name w:val="No Spacing"/>
    <w:basedOn w:val="a"/>
    <w:uiPriority w:val="1"/>
    <w:qFormat/>
    <w:rsid w:val="00F23F14"/>
    <w:rPr>
      <w:rFonts w:ascii="Calibri" w:hAnsi="Calibri" w:cs="新細明體"/>
      <w:lang w:eastAsia="zh-TW"/>
    </w:rPr>
  </w:style>
  <w:style w:type="paragraph" w:customStyle="1" w:styleId="Default">
    <w:name w:val="Default"/>
    <w:rsid w:val="0068523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1">
    <w:name w:val="text1"/>
    <w:basedOn w:val="a0"/>
    <w:rsid w:val="00DE76C3"/>
    <w:rPr>
      <w:rFonts w:ascii="微軟正黑體" w:eastAsia="微軟正黑體" w:hAnsi="微軟正黑體" w:hint="eastAsia"/>
      <w:b/>
      <w:bCs/>
      <w:strike w:val="0"/>
      <w:dstrike w:val="0"/>
      <w:color w:val="000080"/>
      <w:u w:val="none"/>
      <w:effect w:val="none"/>
    </w:rPr>
  </w:style>
  <w:style w:type="character" w:customStyle="1" w:styleId="st1">
    <w:name w:val="st1"/>
    <w:basedOn w:val="a0"/>
    <w:rsid w:val="00B72376"/>
  </w:style>
  <w:style w:type="character" w:customStyle="1" w:styleId="apple-converted-space">
    <w:name w:val="apple-converted-space"/>
    <w:basedOn w:val="a0"/>
    <w:rsid w:val="008D2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uiPriority="20" w:qFormat="1"/>
    <w:lsdException w:name="Plain Text" w:uiPriority="99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679"/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3679"/>
    <w:pPr>
      <w:tabs>
        <w:tab w:val="center" w:pos="4153"/>
        <w:tab w:val="right" w:pos="8306"/>
      </w:tabs>
      <w:snapToGrid w:val="0"/>
      <w:spacing w:after="200"/>
    </w:pPr>
    <w:rPr>
      <w:rFonts w:ascii="Cambria" w:hAnsi="Cambria"/>
      <w:sz w:val="20"/>
      <w:szCs w:val="20"/>
      <w:lang w:val="x-none"/>
    </w:rPr>
  </w:style>
  <w:style w:type="character" w:customStyle="1" w:styleId="a4">
    <w:name w:val="頁首 字元"/>
    <w:link w:val="a3"/>
    <w:locked/>
    <w:rsid w:val="00F13679"/>
    <w:rPr>
      <w:rFonts w:cs="Times New Roman"/>
      <w:lang w:val="x-none" w:eastAsia="en-US"/>
    </w:rPr>
  </w:style>
  <w:style w:type="paragraph" w:styleId="a5">
    <w:name w:val="footer"/>
    <w:basedOn w:val="a"/>
    <w:link w:val="a6"/>
    <w:uiPriority w:val="99"/>
    <w:rsid w:val="00F13679"/>
    <w:pPr>
      <w:tabs>
        <w:tab w:val="center" w:pos="4153"/>
        <w:tab w:val="right" w:pos="8306"/>
      </w:tabs>
      <w:snapToGrid w:val="0"/>
      <w:spacing w:after="200"/>
    </w:pPr>
    <w:rPr>
      <w:rFonts w:ascii="Cambria" w:hAnsi="Cambria"/>
      <w:sz w:val="20"/>
      <w:szCs w:val="20"/>
      <w:lang w:val="x-none"/>
    </w:rPr>
  </w:style>
  <w:style w:type="character" w:customStyle="1" w:styleId="a6">
    <w:name w:val="頁尾 字元"/>
    <w:link w:val="a5"/>
    <w:uiPriority w:val="99"/>
    <w:locked/>
    <w:rsid w:val="00F13679"/>
    <w:rPr>
      <w:rFonts w:cs="Times New Roman"/>
      <w:lang w:val="x-none" w:eastAsia="en-US"/>
    </w:rPr>
  </w:style>
  <w:style w:type="paragraph" w:styleId="a7">
    <w:name w:val="Balloon Text"/>
    <w:basedOn w:val="a"/>
    <w:link w:val="a8"/>
    <w:semiHidden/>
    <w:rsid w:val="00F13679"/>
    <w:rPr>
      <w:rFonts w:ascii="Cambria" w:hAnsi="Cambria"/>
      <w:sz w:val="18"/>
      <w:szCs w:val="18"/>
      <w:lang w:val="x-none"/>
    </w:rPr>
  </w:style>
  <w:style w:type="character" w:customStyle="1" w:styleId="a8">
    <w:name w:val="註解方塊文字 字元"/>
    <w:link w:val="a7"/>
    <w:semiHidden/>
    <w:locked/>
    <w:rsid w:val="00F13679"/>
    <w:rPr>
      <w:rFonts w:ascii="Cambria" w:eastAsia="新細明體" w:hAnsi="Cambria" w:cs="Times New Roman"/>
      <w:sz w:val="18"/>
      <w:szCs w:val="18"/>
      <w:lang w:val="x-none" w:eastAsia="en-US"/>
    </w:rPr>
  </w:style>
  <w:style w:type="paragraph" w:customStyle="1" w:styleId="FreeForm">
    <w:name w:val="Free Form"/>
    <w:autoRedefine/>
    <w:rsid w:val="00FB0B68"/>
    <w:rPr>
      <w:rFonts w:ascii="Arial" w:eastAsia="Times New Roman" w:hAnsi="Arial" w:cs="Arial"/>
      <w:color w:val="000000"/>
      <w:sz w:val="24"/>
      <w:szCs w:val="24"/>
    </w:rPr>
  </w:style>
  <w:style w:type="character" w:styleId="a9">
    <w:name w:val="Hyperlink"/>
    <w:rsid w:val="00C15E02"/>
    <w:rPr>
      <w:color w:val="0000FF"/>
      <w:u w:val="single"/>
    </w:rPr>
  </w:style>
  <w:style w:type="character" w:styleId="aa">
    <w:name w:val="page number"/>
    <w:basedOn w:val="a0"/>
    <w:rsid w:val="00E37277"/>
  </w:style>
  <w:style w:type="paragraph" w:styleId="ab">
    <w:name w:val="Date"/>
    <w:basedOn w:val="a"/>
    <w:next w:val="a"/>
    <w:rsid w:val="004F0AE3"/>
    <w:pPr>
      <w:widowControl w:val="0"/>
      <w:jc w:val="right"/>
    </w:pPr>
    <w:rPr>
      <w:rFonts w:ascii="Arial" w:eastAsia="標楷體" w:hAnsi="Arial" w:cs="Arial"/>
      <w:color w:val="000000"/>
      <w:kern w:val="2"/>
      <w:lang w:eastAsia="zh-TW"/>
    </w:rPr>
  </w:style>
  <w:style w:type="character" w:customStyle="1" w:styleId="ac">
    <w:name w:val="摘要內文"/>
    <w:rsid w:val="007C0750"/>
    <w:rPr>
      <w:rFonts w:cs="Times New Roman"/>
      <w:sz w:val="20"/>
    </w:rPr>
  </w:style>
  <w:style w:type="character" w:customStyle="1" w:styleId="ad">
    <w:name w:val="a"/>
    <w:basedOn w:val="a0"/>
    <w:rsid w:val="002C05F3"/>
  </w:style>
  <w:style w:type="paragraph" w:customStyle="1" w:styleId="Text">
    <w:name w:val="Text"/>
    <w:basedOn w:val="a"/>
    <w:rsid w:val="00D35900"/>
    <w:pPr>
      <w:spacing w:after="200"/>
    </w:pPr>
    <w:rPr>
      <w:rFonts w:ascii="Arial" w:hAnsi="Arial" w:cs="Arial"/>
      <w:sz w:val="20"/>
      <w:szCs w:val="20"/>
      <w:lang w:val="de-DE"/>
    </w:rPr>
  </w:style>
  <w:style w:type="character" w:styleId="ae">
    <w:name w:val="Strong"/>
    <w:basedOn w:val="a0"/>
    <w:uiPriority w:val="22"/>
    <w:qFormat/>
    <w:locked/>
    <w:rsid w:val="00960F0B"/>
    <w:rPr>
      <w:b/>
      <w:bCs/>
    </w:rPr>
  </w:style>
  <w:style w:type="paragraph" w:customStyle="1" w:styleId="unterberschrift">
    <w:name w:val="unterberschrift"/>
    <w:basedOn w:val="a"/>
    <w:rsid w:val="00960F0B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character" w:styleId="af">
    <w:name w:val="Emphasis"/>
    <w:basedOn w:val="a0"/>
    <w:uiPriority w:val="20"/>
    <w:qFormat/>
    <w:locked/>
    <w:rsid w:val="007428DA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7428DA"/>
  </w:style>
  <w:style w:type="paragraph" w:styleId="af0">
    <w:name w:val="List Paragraph"/>
    <w:basedOn w:val="a"/>
    <w:uiPriority w:val="34"/>
    <w:qFormat/>
    <w:rsid w:val="008245FA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  <w:lang w:eastAsia="zh-TW"/>
    </w:rPr>
  </w:style>
  <w:style w:type="paragraph" w:customStyle="1" w:styleId="yiv2182289416msonormal">
    <w:name w:val="yiv2182289416msonormal"/>
    <w:basedOn w:val="a"/>
    <w:rsid w:val="008245FA"/>
    <w:pPr>
      <w:spacing w:before="100" w:beforeAutospacing="1" w:after="100" w:afterAutospacing="1"/>
    </w:pPr>
    <w:rPr>
      <w:rFonts w:eastAsia="SimSun"/>
      <w:lang w:eastAsia="zh-CN"/>
    </w:rPr>
  </w:style>
  <w:style w:type="character" w:styleId="af1">
    <w:name w:val="annotation reference"/>
    <w:basedOn w:val="a0"/>
    <w:rsid w:val="00F65DAD"/>
    <w:rPr>
      <w:sz w:val="18"/>
      <w:szCs w:val="18"/>
    </w:rPr>
  </w:style>
  <w:style w:type="paragraph" w:styleId="af2">
    <w:name w:val="annotation text"/>
    <w:basedOn w:val="a"/>
    <w:link w:val="af3"/>
    <w:rsid w:val="00F65DAD"/>
  </w:style>
  <w:style w:type="character" w:customStyle="1" w:styleId="af3">
    <w:name w:val="註解文字 字元"/>
    <w:basedOn w:val="a0"/>
    <w:link w:val="af2"/>
    <w:rsid w:val="00F65DAD"/>
    <w:rPr>
      <w:rFonts w:ascii="Times New Roman" w:hAnsi="Times New Roman"/>
      <w:sz w:val="24"/>
      <w:szCs w:val="24"/>
      <w:lang w:eastAsia="en-US"/>
    </w:rPr>
  </w:style>
  <w:style w:type="paragraph" w:styleId="af4">
    <w:name w:val="annotation subject"/>
    <w:basedOn w:val="af2"/>
    <w:next w:val="af2"/>
    <w:link w:val="af5"/>
    <w:rsid w:val="00F65DAD"/>
    <w:rPr>
      <w:b/>
      <w:bCs/>
    </w:rPr>
  </w:style>
  <w:style w:type="character" w:customStyle="1" w:styleId="af5">
    <w:name w:val="註解主旨 字元"/>
    <w:basedOn w:val="af3"/>
    <w:link w:val="af4"/>
    <w:rsid w:val="00F65DAD"/>
    <w:rPr>
      <w:rFonts w:ascii="Times New Roman" w:hAnsi="Times New Roman"/>
      <w:b/>
      <w:bCs/>
      <w:sz w:val="24"/>
      <w:szCs w:val="24"/>
      <w:lang w:eastAsia="en-US"/>
    </w:rPr>
  </w:style>
  <w:style w:type="paragraph" w:styleId="Web">
    <w:name w:val="Normal (Web)"/>
    <w:basedOn w:val="a"/>
    <w:uiPriority w:val="99"/>
    <w:unhideWhenUsed/>
    <w:rsid w:val="001E67D0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paragraph" w:styleId="af6">
    <w:name w:val="Plain Text"/>
    <w:basedOn w:val="a"/>
    <w:link w:val="af7"/>
    <w:uiPriority w:val="99"/>
    <w:unhideWhenUsed/>
    <w:rsid w:val="00CE6385"/>
    <w:pPr>
      <w:widowControl w:val="0"/>
    </w:pPr>
    <w:rPr>
      <w:rFonts w:ascii="Calibri" w:hAnsi="Courier New" w:cs="Courier New"/>
      <w:kern w:val="2"/>
      <w:lang w:eastAsia="zh-TW"/>
    </w:rPr>
  </w:style>
  <w:style w:type="character" w:customStyle="1" w:styleId="af7">
    <w:name w:val="純文字 字元"/>
    <w:basedOn w:val="a0"/>
    <w:link w:val="af6"/>
    <w:uiPriority w:val="99"/>
    <w:rsid w:val="00CE6385"/>
    <w:rPr>
      <w:rFonts w:ascii="Calibri" w:hAnsi="Courier New" w:cs="Courier New"/>
      <w:kern w:val="2"/>
      <w:sz w:val="24"/>
      <w:szCs w:val="24"/>
    </w:rPr>
  </w:style>
  <w:style w:type="paragraph" w:styleId="af8">
    <w:name w:val="No Spacing"/>
    <w:basedOn w:val="a"/>
    <w:uiPriority w:val="1"/>
    <w:qFormat/>
    <w:rsid w:val="00F23F14"/>
    <w:rPr>
      <w:rFonts w:ascii="Calibri" w:hAnsi="Calibri" w:cs="新細明體"/>
      <w:lang w:eastAsia="zh-TW"/>
    </w:rPr>
  </w:style>
  <w:style w:type="paragraph" w:customStyle="1" w:styleId="Default">
    <w:name w:val="Default"/>
    <w:rsid w:val="0068523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1">
    <w:name w:val="text1"/>
    <w:basedOn w:val="a0"/>
    <w:rsid w:val="00DE76C3"/>
    <w:rPr>
      <w:rFonts w:ascii="微軟正黑體" w:eastAsia="微軟正黑體" w:hAnsi="微軟正黑體" w:hint="eastAsia"/>
      <w:b/>
      <w:bCs/>
      <w:strike w:val="0"/>
      <w:dstrike w:val="0"/>
      <w:color w:val="000080"/>
      <w:u w:val="none"/>
      <w:effect w:val="none"/>
    </w:rPr>
  </w:style>
  <w:style w:type="character" w:customStyle="1" w:styleId="st1">
    <w:name w:val="st1"/>
    <w:basedOn w:val="a0"/>
    <w:rsid w:val="00B72376"/>
  </w:style>
  <w:style w:type="character" w:customStyle="1" w:styleId="apple-converted-space">
    <w:name w:val="apple-converted-space"/>
    <w:basedOn w:val="a0"/>
    <w:rsid w:val="008D2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59641">
      <w:bodyDiv w:val="1"/>
      <w:marLeft w:val="0"/>
      <w:marRight w:val="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309">
                  <w:marLeft w:val="0"/>
                  <w:marRight w:val="0"/>
                  <w:marTop w:val="75"/>
                  <w:marBottom w:val="375"/>
                  <w:divBdr>
                    <w:top w:val="none" w:sz="0" w:space="0" w:color="auto"/>
                    <w:left w:val="single" w:sz="24" w:space="0" w:color="21A79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5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eltaww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91D0A-EA4E-47A3-90D7-B3A241FB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1693</Characters>
  <Application>Microsoft Office Word</Application>
  <DocSecurity>0</DocSecurity>
  <Lines>14</Lines>
  <Paragraphs>3</Paragraphs>
  <ScaleCrop>false</ScaleCrop>
  <Company>Delta Electronics, Inc.</Company>
  <LinksUpToDate>false</LinksUpToDate>
  <CharactersWithSpaces>1987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mailto:jesse.chou@delta.com.tw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(Sample) Title</dc:title>
  <dc:creator>Brand Management Office</dc:creator>
  <cp:lastModifiedBy>JAIR.SOSSA 蘇家義</cp:lastModifiedBy>
  <cp:revision>2</cp:revision>
  <cp:lastPrinted>2016-08-24T05:33:00Z</cp:lastPrinted>
  <dcterms:created xsi:type="dcterms:W3CDTF">2016-09-21T05:28:00Z</dcterms:created>
  <dcterms:modified xsi:type="dcterms:W3CDTF">2016-09-21T05:28:00Z</dcterms:modified>
</cp:coreProperties>
</file>